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5F"/>
        </w:rPr>
        <w:t>Marketing Requirements Document</w:t>
      </w:r>
    </w:p>
    <w:p>
      <w:pPr>
        <w:spacing w:before="120" w:after="120"/>
        <w:ind w:left="360" w:right="360"/>
      </w:pPr>
      <w:r>
        <w:rPr>
          <w:i/>
        </w:rPr>
        <w:t>Vault: `/Volumes/Casima/claudeCode/CompanyWiki/company-brain/examples/meddev-fictional` · Profile: `medical-device`</w:t>
      </w:r>
    </w:p>
    <w:p>
      <w:pPr>
        <w:pStyle w:val="Heading2"/>
      </w:pPr>
      <w:r>
        <w:rPr>
          <w:color w:val="1F3A5F"/>
        </w:rPr>
        <w:t>1. Executive summary</w:t>
      </w:r>
    </w:p>
    <w:p>
      <w:r>
        <w:t>The 2 governing principles of this company shape every section that follows. The product set is anchored on 2 products, positioned against 2 known competitors.</w:t>
      </w:r>
    </w:p>
    <w:p>
      <w:r>
        <w:rPr>
          <w:b/>
        </w:rPr>
        <w:t>Top principles:</w:t>
      </w:r>
    </w:p>
    <w:p>
      <w:pPr>
        <w:pStyle w:val="ListBullet"/>
      </w:pPr>
      <w:r>
        <w:t xml:space="preserve">[pillar-disposable-pad-business-model] </w:t>
      </w:r>
      <w:r>
        <w:rPr>
          <w:b/>
        </w:rPr>
        <w:t>Disposable Pad as the Recurring-Revenue Engine</w:t>
      </w:r>
      <w:r>
        <w:t xml:space="preserve"> — The Vitalisens Pad is a 7-day replaceable disposable; recurring pad revenue, not the wearable, is the long-term unit economic.</w:t>
      </w:r>
    </w:p>
    <w:p>
      <w:pPr>
        <w:pStyle w:val="ListBullet"/>
      </w:pPr>
      <w:r>
        <w:t xml:space="preserve">[pillar-icp-ambulatory-cardiac-patients] </w:t>
      </w:r>
      <w:r>
        <w:rPr>
          <w:b/>
        </w:rPr>
        <w:t>ICP: Adult Ambulatory Cardiac Patients</w:t>
      </w:r>
      <w:r>
        <w:t xml:space="preserve"> — We serve adult cardiac patients in ambulatory settings during the 7- to 30-day window after a cardiac event or during arrhythmia workup.</w:t>
      </w:r>
    </w:p>
    <w:p>
      <w:r>
        <w:rPr>
          <w:b/>
        </w:rPr>
        <w:t>What we are explicitly not doing</w:t>
      </w:r>
      <w:r>
        <w:t xml:space="preserve"> (full detail in §10):</w:t>
      </w:r>
    </w:p>
    <w:p>
      <w:pPr>
        <w:pStyle w:val="ListBullet"/>
      </w:pPr>
      <w:r>
        <w:t>[pillar-no-pediatric-use] Non-Goal: We Do Not Pursue Pediatric Use</w:t>
      </w:r>
    </w:p>
    <w:p>
      <w:pPr>
        <w:pStyle w:val="ListBullet"/>
      </w:pPr>
      <w:r>
        <w:t>[pillar-no-physical-documentation] Non-Goal: No Physical Documentation</w:t>
      </w:r>
    </w:p>
    <w:p>
      <w:pPr>
        <w:pStyle w:val="Heading2"/>
      </w:pPr>
      <w:r>
        <w:rPr>
          <w:color w:val="1F3A5F"/>
        </w:rPr>
        <w:t>2. Vision and positioning</w:t>
      </w:r>
    </w:p>
    <w:p>
      <w:r>
        <w:t>The company's positioning rests on the following pillars:</w:t>
      </w:r>
    </w:p>
    <w:p>
      <w:pPr>
        <w:pStyle w:val="Heading3"/>
      </w:pPr>
      <w:r>
        <w:rPr>
          <w:color w:val="3B82C4"/>
        </w:rPr>
        <w:t>Disposable Pad as the Recurring-Revenue Engine [pillar-disposable-pad-business-model]</w:t>
      </w:r>
    </w:p>
    <w:p>
      <w:r>
        <w:t>The Vitalisens Pad is a 7-day replaceable disposable; recurring pad revenue, not the wearable, is the long-term unit economic.</w:t>
      </w:r>
    </w:p>
    <w:p>
      <w:r>
        <w:t>_Applies when:_ pricing, business model, pad, disposable, recurring revenue, unit economics, LTV, reimbursement, channel</w:t>
      </w:r>
    </w:p>
    <w:p>
      <w:pPr>
        <w:pStyle w:val="Heading3"/>
      </w:pPr>
      <w:r>
        <w:rPr>
          <w:color w:val="3B82C4"/>
        </w:rPr>
        <w:t>ICP: Adult Ambulatory Cardiac Patients [pillar-icp-ambulatory-cardiac-patients]</w:t>
      </w:r>
    </w:p>
    <w:p>
      <w:r>
        <w:t>We serve adult cardiac patients in ambulatory settings during the 7- to 30-day window after a cardiac event or during arrhythmia workup.</w:t>
      </w:r>
    </w:p>
    <w:p>
      <w:r>
        <w:t>_Applies when:_ ICP, target market, audience, indication scope, patient population, who we serve, expansion, pediatric, geriatric, in-patient, home-health</w:t>
      </w:r>
    </w:p>
    <w:p>
      <w:r>
        <w:rPr>
          <w:b/>
        </w:rPr>
        <w:t>Vision sources</w:t>
      </w:r>
      <w:r>
        <w:t xml:space="preserve"> (founder-vision, strategic-thesis, domain-expertise):</w:t>
      </w:r>
    </w:p>
    <w:p>
      <w:pPr>
        <w:pStyle w:val="ListBullet"/>
      </w:pPr>
      <w:r>
        <w:t>[source-domain-expertise-saunders-cardiology-2026] _domain-expertise_ — Domain Expertise: Saunders, 20 Years of Cardiology Workflow</w:t>
      </w:r>
    </w:p>
    <w:p>
      <w:pPr>
        <w:pStyle w:val="ListBullet"/>
      </w:pPr>
      <w:r>
        <w:t>[source-strategic-thesis-disposable-pad-recurring-revenue] _strategic-thesis_ — Strategic Thesis: Disposable Pad as Recurring Revenue Engine</w:t>
      </w:r>
    </w:p>
    <w:p>
      <w:pPr>
        <w:pStyle w:val="ListBullet"/>
      </w:pPr>
      <w:r>
        <w:t>[source-vision-saunders-2026-cardiac-workflow-thesis] _founder-vision_ — Founder Vision: The Cardiac Workflow Bottleneck (Saunders, 2026)</w:t>
      </w:r>
    </w:p>
    <w:p>
      <w:pPr>
        <w:pStyle w:val="Heading2"/>
      </w:pPr>
      <w:r>
        <w:rPr>
          <w:color w:val="1F3A5F"/>
        </w:rPr>
        <w:t>3. Indications for use</w:t>
      </w:r>
    </w:p>
    <w:p>
      <w:r>
        <w:rPr>
          <w:b/>
        </w:rPr>
        <w:t>Our IFU:</w:t>
      </w:r>
    </w:p>
    <w:p>
      <w:pPr>
        <w:pStyle w:val="Heading3"/>
      </w:pPr>
      <w:r>
        <w:rPr>
          <w:color w:val="3B82C4"/>
        </w:rPr>
        <w:t>IFU: Vitalisens Cardio (planned, 2026 Q1) [indication-for-use-vitalisens-cardio-2026-q1]</w:t>
      </w:r>
    </w:p>
    <w:p>
      <w:pPr>
        <w:pStyle w:val="ListBullet"/>
      </w:pPr>
      <w:r>
        <w:rPr>
          <w:b/>
        </w:rPr>
        <w:t>Population:</w:t>
      </w:r>
      <w:r>
        <w:t xml:space="preserve"> Adult patients aged 18 years and older</w:t>
      </w:r>
    </w:p>
    <w:p>
      <w:pPr>
        <w:pStyle w:val="ListBullet"/>
      </w:pPr>
      <w:r>
        <w:rPr>
          <w:b/>
        </w:rPr>
        <w:t>Condition:</w:t>
      </w:r>
      <w:r>
        <w:t xml:space="preserve"> Suspected cardiac arrhythmia or post-cardiac-event surveillance</w:t>
      </w:r>
    </w:p>
    <w:p>
      <w:pPr>
        <w:pStyle w:val="ListBullet"/>
      </w:pPr>
      <w:r>
        <w:rPr>
          <w:b/>
        </w:rPr>
        <w:t>Intervention:</w:t>
      </w:r>
      <w:r>
        <w:t xml:space="preserve"> Continuous ambulatory ECG recording over a 7-day pad cycle, transmitted to a clinician-reviewable application</w:t>
      </w:r>
    </w:p>
    <w:p>
      <w:pPr>
        <w:pStyle w:val="ListBullet"/>
      </w:pPr>
      <w:r>
        <w:rPr>
          <w:b/>
        </w:rPr>
        <w:t>Setting:</w:t>
      </w:r>
      <w:r>
        <w:t xml:space="preserve"> Home and outpatient clinical settings; not for in-patient acute monitoring</w:t>
      </w:r>
    </w:p>
    <w:p>
      <w:r>
        <w:rPr>
          <w:b/>
        </w:rPr>
        <w:t>IFU comparison matrix</w:t>
      </w:r>
      <w:r>
        <w:t xml:space="preserve"> (latest IFU per product):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1F3A5F"/>
              </w:rPr>
              <w:t>Product</w:t>
            </w:r>
          </w:p>
        </w:tc>
        <w:tc>
          <w:tcPr>
            <w:tcW w:type="dxa" w:w="1728"/>
          </w:tcPr>
          <w:p>
            <w:r>
              <w:rPr>
                <w:b/>
                <w:color w:val="1F3A5F"/>
              </w:rPr>
              <w:t>Population</w:t>
            </w:r>
          </w:p>
        </w:tc>
        <w:tc>
          <w:tcPr>
            <w:tcW w:type="dxa" w:w="1728"/>
          </w:tcPr>
          <w:p>
            <w:r>
              <w:rPr>
                <w:b/>
                <w:color w:val="1F3A5F"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  <w:color w:val="1F3A5F"/>
              </w:rPr>
              <w:t>Intervention</w:t>
            </w:r>
          </w:p>
        </w:tc>
        <w:tc>
          <w:tcPr>
            <w:tcW w:type="dxa" w:w="1728"/>
          </w:tcPr>
          <w:p>
            <w:r>
              <w:rPr>
                <w:b/>
                <w:color w:val="1F3A5F"/>
              </w:rPr>
              <w:t>Setting</w:t>
            </w:r>
          </w:p>
        </w:tc>
      </w:tr>
      <w:tr>
        <w:tc>
          <w:tcPr>
            <w:tcW w:type="dxa" w:w="1728"/>
          </w:tcPr>
          <w:p>
            <w:r>
              <w:t>Vitalisens Cardio [indication-for-use-vitalisens-cardio-2026-q1]</w:t>
            </w:r>
          </w:p>
        </w:tc>
        <w:tc>
          <w:tcPr>
            <w:tcW w:type="dxa" w:w="1728"/>
          </w:tcPr>
          <w:p>
            <w:r>
              <w:t>Adult patients aged 18 years and older</w:t>
            </w:r>
          </w:p>
        </w:tc>
        <w:tc>
          <w:tcPr>
            <w:tcW w:type="dxa" w:w="1728"/>
          </w:tcPr>
          <w:p>
            <w:r>
              <w:t>Suspected cardiac arrhythmia or post-cardiac-event surveillance</w:t>
            </w:r>
          </w:p>
        </w:tc>
        <w:tc>
          <w:tcPr>
            <w:tcW w:type="dxa" w:w="1728"/>
          </w:tcPr>
          <w:p>
            <w:r>
              <w:t>Continuous ambulatory ECG recording over a 7-day pad cycle, transmitted to a clinician-reviewable application</w:t>
            </w:r>
          </w:p>
        </w:tc>
        <w:tc>
          <w:tcPr>
            <w:tcW w:type="dxa" w:w="1728"/>
          </w:tcPr>
          <w:p>
            <w:r>
              <w:t>Home and outpatient clinical settings; not for in-patient acute monitoring</w:t>
            </w:r>
          </w:p>
        </w:tc>
      </w:tr>
    </w:tbl>
    <w:p>
      <w:pPr>
        <w:pStyle w:val="Heading2"/>
      </w:pPr>
      <w:r>
        <w:rPr>
          <w:color w:val="1F3A5F"/>
        </w:rPr>
        <w:t>4. Market and personas</w:t>
      </w:r>
    </w:p>
    <w:p>
      <w:r>
        <w:rPr>
          <w:b/>
        </w:rPr>
        <w:t>Personas:</w:t>
      </w:r>
    </w:p>
    <w:p>
      <w:pPr>
        <w:pStyle w:val="ListBullet"/>
      </w:pPr>
      <w:r>
        <w:t xml:space="preserve">[persona-ambulatory-cardiac-patient] </w:t>
      </w:r>
      <w:r>
        <w:rPr>
          <w:b/>
        </w:rPr>
        <w:t>Persona: Ambulatory Cardiac Patient</w:t>
      </w:r>
      <w:r>
        <w:t xml:space="preserve"> — Adult patient discharged from cardiology service with continuous-monitoring orders for 7-30 days; mobile, lives at home, manages own pad changes.</w:t>
      </w:r>
    </w:p>
    <w:p>
      <w:r>
        <w:rPr>
          <w:b/>
        </w:rPr>
        <w:t>Named customer references:</w:t>
      </w:r>
    </w:p>
    <w:p>
      <w:pPr>
        <w:pStyle w:val="ListBullet"/>
      </w:pPr>
      <w:r>
        <w:t>[customer-northstar-cardiology-2025] Northstar Cardiology Group (trial customer) — Fictional multi-site cardiology group; first trial customer; running a 14-patient pilot during Q1-Q2 2026.</w:t>
      </w:r>
    </w:p>
    <w:p>
      <w:pPr>
        <w:pStyle w:val="Heading2"/>
      </w:pPr>
      <w:r>
        <w:rPr>
          <w:color w:val="1F3A5F"/>
        </w:rPr>
        <w:t>5. Market requirements</w:t>
      </w:r>
    </w:p>
    <w:p>
      <w:pPr>
        <w:pStyle w:val="ListBullet"/>
      </w:pPr>
      <w:r>
        <w:t xml:space="preserve">[requirement-mkt-001-continuous-ecg-during-ambulatory] </w:t>
      </w:r>
      <w:r>
        <w:rPr>
          <w:b/>
        </w:rPr>
        <w:t>Market Requirement: Continuous ECG During Ambulatory Use</w:t>
      </w:r>
      <w:r>
        <w:t xml:space="preserve"> — Cardiologists need continuous (not intermittent) ECG capture during the ambulatory window; intermittent recording misses paroxysmal events.</w:t>
      </w:r>
    </w:p>
    <w:p>
      <w:pPr>
        <w:pStyle w:val="Heading2"/>
      </w:pPr>
      <w:r>
        <w:rPr>
          <w:color w:val="1F3A5F"/>
        </w:rPr>
        <w:t>6. Competitive landscape</w:t>
      </w:r>
    </w:p>
    <w:p>
      <w:pPr>
        <w:pStyle w:val="Heading3"/>
      </w:pPr>
      <w:r>
        <w:rPr>
          <w:color w:val="3B82C4"/>
        </w:rPr>
        <w:t>CardioTrace Inc [competitor-cardiotrace-inc]</w:t>
      </w:r>
    </w:p>
    <w:p>
      <w:r>
        <w:t>Direct fictional competitor in adult ambulatory cardiac telemetry; two 510(k) clearances with expanding IFU history; competes head-on with Vitalisens.</w:t>
      </w:r>
    </w:p>
    <w:p>
      <w:pPr>
        <w:pStyle w:val="ListBullet"/>
      </w:pPr>
      <w:r>
        <w:rPr>
          <w:b/>
        </w:rPr>
        <w:t>Canonical URL:</w:t>
      </w:r>
      <w:r>
        <w:t xml:space="preserve"> https://cardiotrace-inc.example.com</w:t>
      </w:r>
    </w:p>
    <w:p>
      <w:pPr>
        <w:pStyle w:val="ListBullet"/>
      </w:pPr>
      <w:r>
        <w:rPr>
          <w:b/>
        </w:rPr>
        <w:t>IFU history:</w:t>
      </w:r>
      <w:r>
        <w:t xml:space="preserve"> [indication-for-use-cardiotrace-pro-2023-q1], [indication-for-use-cardiotrace-pro-2025-q3]</w:t>
      </w:r>
    </w:p>
    <w:p>
      <w:pPr>
        <w:pStyle w:val="ListBullet"/>
      </w:pPr>
      <w:r>
        <w:rPr>
          <w:b/>
        </w:rPr>
        <w:t>Clearances:</w:t>
      </w:r>
      <w:r>
        <w:t xml:space="preserve"> [regulatory-clearance-K181234-cardiotrace-pro-v1], [regulatory-clearance-K231234-cardiotrace-pro-v2]</w:t>
      </w:r>
    </w:p>
    <w:p>
      <w:pPr>
        <w:pStyle w:val="Heading3"/>
      </w:pPr>
      <w:r>
        <w:rPr>
          <w:color w:val="3B82C4"/>
        </w:rPr>
        <w:t>PulseGuard Medical [competitor-pulseguard-medical]</w:t>
      </w:r>
    </w:p>
    <w:p>
      <w:r>
        <w:t>Adjacent fictional competitor; alternative architecture (in-clinic placement, in-home pad change); one 510(k) clearance frequently used as predicate.</w:t>
      </w:r>
    </w:p>
    <w:p>
      <w:pPr>
        <w:pStyle w:val="ListBullet"/>
      </w:pPr>
      <w:r>
        <w:rPr>
          <w:b/>
        </w:rPr>
        <w:t>Canonical URL:</w:t>
      </w:r>
      <w:r>
        <w:t xml:space="preserve"> https://pulseguard-medical.example.com</w:t>
      </w:r>
    </w:p>
    <w:p>
      <w:pPr>
        <w:pStyle w:val="ListBullet"/>
      </w:pPr>
      <w:r>
        <w:rPr>
          <w:b/>
        </w:rPr>
        <w:t>IFU history:</w:t>
      </w:r>
      <w:r>
        <w:t xml:space="preserve"> [indication-for-use-pulseguard-rhythm-2022-q4]</w:t>
      </w:r>
    </w:p>
    <w:p>
      <w:pPr>
        <w:pStyle w:val="ListBullet"/>
      </w:pPr>
      <w:r>
        <w:rPr>
          <w:b/>
        </w:rPr>
        <w:t>Clearances:</w:t>
      </w:r>
      <w:r>
        <w:t xml:space="preserve"> [regulatory-clearance-K221567-pulseguard-rhythm]</w:t>
      </w:r>
    </w:p>
    <w:p>
      <w:pPr>
        <w:pStyle w:val="Heading2"/>
      </w:pPr>
      <w:r>
        <w:rPr>
          <w:color w:val="1F3A5F"/>
        </w:rPr>
        <w:t>7. Regulatory landscape</w:t>
      </w:r>
    </w:p>
    <w:p>
      <w:r>
        <w:rPr>
          <w:b/>
        </w:rPr>
        <w:t>Clearances tracked: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F3A5F"/>
              </w:rPr>
              <w:t>Clearance</w:t>
            </w:r>
          </w:p>
        </w:tc>
        <w:tc>
          <w:tcPr>
            <w:tcW w:type="dxa" w:w="1440"/>
          </w:tcPr>
          <w:p>
            <w:r>
              <w:rPr>
                <w:b/>
                <w:color w:val="1F3A5F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color w:val="1F3A5F"/>
              </w:rPr>
              <w:t>Applicant</w:t>
            </w:r>
          </w:p>
        </w:tc>
        <w:tc>
          <w:tcPr>
            <w:tcW w:type="dxa" w:w="1440"/>
          </w:tcPr>
          <w:p>
            <w:r>
              <w:rPr>
                <w:b/>
                <w:color w:val="1F3A5F"/>
              </w:rPr>
              <w:t>Device</w:t>
            </w:r>
          </w:p>
        </w:tc>
        <w:tc>
          <w:tcPr>
            <w:tcW w:type="dxa" w:w="1440"/>
          </w:tcPr>
          <w:p>
            <w:r>
              <w:rPr>
                <w:b/>
                <w:color w:val="1F3A5F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  <w:color w:val="1F3A5F"/>
              </w:rPr>
              <w:t>Predicates</w:t>
            </w:r>
          </w:p>
        </w:tc>
      </w:tr>
      <w:tr>
        <w:tc>
          <w:tcPr>
            <w:tcW w:type="dxa" w:w="1440"/>
          </w:tcPr>
          <w:p>
            <w:r>
              <w:t xml:space="preserve">[regulatory-clearance-K181234-cardiotrace-pro-v1] </w:t>
            </w:r>
            <w:r>
              <w:rPr>
                <w:rFonts w:ascii="Courier New" w:hAnsi="Courier New"/>
              </w:rPr>
              <w:t>K181234</w:t>
            </w:r>
          </w:p>
        </w:tc>
        <w:tc>
          <w:tcPr>
            <w:tcW w:type="dxa" w:w="1440"/>
          </w:tcPr>
          <w:p>
            <w:r>
              <w:t>510k</w:t>
            </w:r>
          </w:p>
        </w:tc>
        <w:tc>
          <w:tcPr>
            <w:tcW w:type="dxa" w:w="1440"/>
          </w:tcPr>
          <w:p>
            <w:r>
              <w:t>CardioTrace Inc</w:t>
            </w:r>
          </w:p>
        </w:tc>
        <w:tc>
          <w:tcPr>
            <w:tcW w:type="dxa" w:w="1440"/>
          </w:tcPr>
          <w:p>
            <w:r>
              <w:t>CardioTrace Pro</w:t>
            </w:r>
          </w:p>
        </w:tc>
        <w:tc>
          <w:tcPr>
            <w:tcW w:type="dxa" w:w="1440"/>
          </w:tcPr>
          <w:p>
            <w:r>
              <w:t>2023-02-14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 xml:space="preserve">[regulatory-clearance-K221567-pulseguard-rhythm] </w:t>
            </w:r>
            <w:r>
              <w:rPr>
                <w:rFonts w:ascii="Courier New" w:hAnsi="Courier New"/>
              </w:rPr>
              <w:t>K221567</w:t>
            </w:r>
          </w:p>
        </w:tc>
        <w:tc>
          <w:tcPr>
            <w:tcW w:type="dxa" w:w="1440"/>
          </w:tcPr>
          <w:p>
            <w:r>
              <w:t>510k</w:t>
            </w:r>
          </w:p>
        </w:tc>
        <w:tc>
          <w:tcPr>
            <w:tcW w:type="dxa" w:w="1440"/>
          </w:tcPr>
          <w:p>
            <w:r>
              <w:t>PulseGuard Medical Devices LLC</w:t>
            </w:r>
          </w:p>
        </w:tc>
        <w:tc>
          <w:tcPr>
            <w:tcW w:type="dxa" w:w="1440"/>
          </w:tcPr>
          <w:p>
            <w:r>
              <w:t>PulseGuard Rhythm</w:t>
            </w:r>
          </w:p>
        </w:tc>
        <w:tc>
          <w:tcPr>
            <w:tcW w:type="dxa" w:w="1440"/>
          </w:tcPr>
          <w:p>
            <w:r>
              <w:t>2022-11-08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 xml:space="preserve">[regulatory-clearance-K231234-cardiotrace-pro-v2] </w:t>
            </w:r>
            <w:r>
              <w:rPr>
                <w:rFonts w:ascii="Courier New" w:hAnsi="Courier New"/>
              </w:rPr>
              <w:t>K231234</w:t>
            </w:r>
          </w:p>
        </w:tc>
        <w:tc>
          <w:tcPr>
            <w:tcW w:type="dxa" w:w="1440"/>
          </w:tcPr>
          <w:p>
            <w:r>
              <w:t>510k</w:t>
            </w:r>
          </w:p>
        </w:tc>
        <w:tc>
          <w:tcPr>
            <w:tcW w:type="dxa" w:w="1440"/>
          </w:tcPr>
          <w:p>
            <w:r>
              <w:t>CardioTrace Inc</w:t>
            </w:r>
          </w:p>
        </w:tc>
        <w:tc>
          <w:tcPr>
            <w:tcW w:type="dxa" w:w="1440"/>
          </w:tcPr>
          <w:p>
            <w:r>
              <w:t>CardioTrace Pro (expanded indication)</w:t>
            </w:r>
          </w:p>
        </w:tc>
        <w:tc>
          <w:tcPr>
            <w:tcW w:type="dxa" w:w="1440"/>
          </w:tcPr>
          <w:p>
            <w:r>
              <w:t>2025-08-30</w:t>
            </w:r>
          </w:p>
        </w:tc>
        <w:tc>
          <w:tcPr>
            <w:tcW w:type="dxa" w:w="1440"/>
          </w:tcPr>
          <w:p>
            <w:r>
              <w:t>[regulatory-clearance-K181234-cardiotrace-pro-v1], [regulatory-clearance-K221567-pulseguard-rhythm]</w:t>
            </w:r>
          </w:p>
        </w:tc>
      </w:tr>
      <w:tr>
        <w:tc>
          <w:tcPr>
            <w:tcW w:type="dxa" w:w="1440"/>
          </w:tcPr>
          <w:p>
            <w:r>
              <w:t xml:space="preserve">[regulatory-clearance-K243189-vitalisens-cardio] </w:t>
            </w:r>
            <w:r>
              <w:rPr>
                <w:rFonts w:ascii="Courier New" w:hAnsi="Courier New"/>
              </w:rPr>
              <w:t>K243189</w:t>
            </w:r>
          </w:p>
        </w:tc>
        <w:tc>
          <w:tcPr>
            <w:tcW w:type="dxa" w:w="1440"/>
          </w:tcPr>
          <w:p>
            <w:r>
              <w:t>510k</w:t>
            </w:r>
          </w:p>
        </w:tc>
        <w:tc>
          <w:tcPr>
            <w:tcW w:type="dxa" w:w="1440"/>
          </w:tcPr>
          <w:p>
            <w:r>
              <w:t>Vitalisens (fictional)</w:t>
            </w:r>
          </w:p>
        </w:tc>
        <w:tc>
          <w:tcPr>
            <w:tcW w:type="dxa" w:w="1440"/>
          </w:tcPr>
          <w:p>
            <w:r>
              <w:t>Vitalisens Cardio</w:t>
            </w:r>
          </w:p>
        </w:tc>
        <w:tc>
          <w:tcPr>
            <w:tcW w:type="dxa" w:w="1440"/>
          </w:tcPr>
          <w:p>
            <w:r>
              <w:t>2026-12-31</w:t>
            </w:r>
          </w:p>
        </w:tc>
        <w:tc>
          <w:tcPr>
            <w:tcW w:type="dxa" w:w="1440"/>
          </w:tcPr>
          <w:p>
            <w:r>
              <w:t>[regulatory-clearance-K221567-pulseguard-rhythm], [regulatory-clearance-K231234-cardiotrace-pro-v2]</w:t>
            </w:r>
          </w:p>
        </w:tc>
      </w:tr>
    </w:tbl>
    <w:p>
      <w:r>
        <w:rPr>
          <w:b/>
        </w:rPr>
        <w:t>Regulations referenced:</w:t>
      </w:r>
    </w:p>
    <w:p>
      <w:pPr>
        <w:pStyle w:val="ListBullet"/>
      </w:pPr>
      <w:r>
        <w:t>[regulation-21-cfr-820-design-controls] Regulation: 21 CFR 820 (Quality System Regulation / Design Controls) — US FDA quality system regulation, including design controls subpart C. Vitalisens' controlled-document boundary is informed by this regulation.</w:t>
      </w:r>
    </w:p>
    <w:p>
      <w:r>
        <w:rPr>
          <w:b/>
        </w:rPr>
        <w:t>Standards referenced:</w:t>
      </w:r>
    </w:p>
    <w:p>
      <w:pPr>
        <w:pStyle w:val="ListBullet"/>
      </w:pPr>
      <w:r>
        <w:t>[standard-iso-14971-risk-management] Standard: ISO 14971 (Risk Management) — International standard for risk management of medical devices. Vitalisens uses its vocabulary for planning-level risk thinking; the controlled risk management file would also conform.</w:t>
      </w:r>
    </w:p>
    <w:p>
      <w:pPr>
        <w:pStyle w:val="Heading2"/>
      </w:pPr>
      <w:r>
        <w:rPr>
          <w:color w:val="1F3A5F"/>
        </w:rPr>
        <w:t>8. Evidence vs. vision split</w:t>
      </w:r>
    </w:p>
    <w:p>
      <w:r>
        <w:t>A breakdown of which claims in this vault are grounded in evidence (customer interviews, market data, internal telemetry, FDA filings, web snapshots, press releases) and which are vision-driven (founder vision, strategic thesis, domain expertise). Both are legitimate; conflating them silently is the failure mode this section prevents.</w:t>
      </w:r>
    </w:p>
    <w:p>
      <w:pPr>
        <w:pStyle w:val="ListBullet"/>
      </w:pPr>
      <w:r>
        <w:rPr>
          <w:b/>
        </w:rPr>
        <w:t>Evidence-derived claims:</w:t>
      </w:r>
      <w:r>
        <w:t xml:space="preserve"> 7</w:t>
      </w:r>
    </w:p>
    <w:p>
      <w:pPr>
        <w:pStyle w:val="ListBullet"/>
      </w:pPr>
      <w:r>
        <w:rPr>
          <w:b/>
        </w:rPr>
        <w:t>Vision-derived claims:</w:t>
      </w:r>
      <w:r>
        <w:t xml:space="preserve"> 4</w:t>
      </w:r>
    </w:p>
    <w:p>
      <w:pPr>
        <w:pStyle w:val="ListBullet"/>
      </w:pPr>
      <w:r>
        <w:rPr>
          <w:b/>
        </w:rPr>
        <w:t>Uncited claims:</w:t>
      </w:r>
      <w:r>
        <w:t xml:space="preserve"> 14 _(should be addressed — every load-bearing claim should derive from a source)_</w:t>
      </w:r>
    </w:p>
    <w:p>
      <w:r>
        <w:rPr>
          <w:b/>
        </w:rPr>
        <w:t>Uncited claims to address:</w:t>
      </w:r>
    </w:p>
    <w:p>
      <w:pPr>
        <w:pStyle w:val="ListBullet"/>
      </w:pPr>
      <w:r>
        <w:t>[decision-001-online-only-documentation] Decision 001: Online-Only Documentation</w:t>
      </w:r>
    </w:p>
    <w:p>
      <w:pPr>
        <w:pStyle w:val="ListBullet"/>
      </w:pPr>
      <w:r>
        <w:t>[decision-003-7-day-wear-not-14-day] Decision 003: 7-Day Pad Wear Time</w:t>
      </w:r>
    </w:p>
    <w:p>
      <w:pPr>
        <w:pStyle w:val="ListBullet"/>
      </w:pPr>
      <w:r>
        <w:t>[fact-current-team-size-2026-q2] Fact: Team Size — 2026 Q2</w:t>
      </w:r>
    </w:p>
    <w:p>
      <w:pPr>
        <w:pStyle w:val="ListBullet"/>
      </w:pPr>
      <w:r>
        <w:t>[fact-pad-attach-rate-2026-q2] Fact: Pad Attach Rate at Day 1 — 2026 Q2 Cohort (interim)</w:t>
      </w:r>
    </w:p>
    <w:p>
      <w:pPr>
        <w:pStyle w:val="ListBullet"/>
      </w:pPr>
      <w:r>
        <w:t>[fact-stripe-fee-2-9-percent-plus-30c] Fact: Stripe US Card Processing Fee</w:t>
      </w:r>
    </w:p>
    <w:p>
      <w:pPr>
        <w:pStyle w:val="ListBullet"/>
      </w:pPr>
      <w:r>
        <w:t>[hypothesis-7-day-wear-improves-compliance] Hypothesis: 7-Day Wear Improves Patient Compliance vs. 14-Day</w:t>
      </w:r>
    </w:p>
    <w:p>
      <w:pPr>
        <w:pStyle w:val="ListBullet"/>
      </w:pPr>
      <w:r>
        <w:t>[hypothesis-rx-only-preserves-reimbursement] Hypothesis: Rx-Only Preserves Reimbursement Coding</w:t>
      </w:r>
    </w:p>
    <w:p>
      <w:pPr>
        <w:pStyle w:val="ListBullet"/>
      </w:pPr>
      <w:r>
        <w:t>[indication-for-use-pulseguard-rhythm-2022-q4] IFU: PulseGuard Rhythm (2022 Q4)</w:t>
      </w:r>
    </w:p>
    <w:p>
      <w:pPr>
        <w:pStyle w:val="ListBullet"/>
      </w:pPr>
      <w:r>
        <w:t>[indication-for-use-vitalisens-cardio-2026-q1] IFU: Vitalisens Cardio (planned, 2026 Q1)</w:t>
      </w:r>
    </w:p>
    <w:p>
      <w:pPr>
        <w:pStyle w:val="ListBullet"/>
      </w:pPr>
      <w:r>
        <w:t>[pillar-no-pediatric-use] Non-Goal: We Do Not Pursue Pediatric Use</w:t>
      </w:r>
    </w:p>
    <w:p>
      <w:pPr>
        <w:pStyle w:val="ListBullet"/>
      </w:pPr>
      <w:r>
        <w:t>[regulatory-clearance-K181234-cardiotrace-pro-v1] 510(k) K181234 — CardioTrace Pro (original)</w:t>
      </w:r>
    </w:p>
    <w:p>
      <w:pPr>
        <w:pStyle w:val="ListBullet"/>
      </w:pPr>
      <w:r>
        <w:t>[regulatory-clearance-K221567-pulseguard-rhythm] 510(k) K221567 — PulseGuard Rhythm</w:t>
      </w:r>
    </w:p>
    <w:p>
      <w:pPr>
        <w:pStyle w:val="ListBullet"/>
      </w:pPr>
      <w:r>
        <w:t>[regulatory-clearance-K243189-vitalisens-cardio] 510(k) K243189 — Vitalisens Cardio (planned)</w:t>
      </w:r>
    </w:p>
    <w:p>
      <w:pPr>
        <w:pStyle w:val="ListBullet"/>
      </w:pPr>
      <w:r>
        <w:t>[requirement-sys-001-7-day-battery] System Requirement: 7-Day Continuous Battery Life</w:t>
      </w:r>
    </w:p>
    <w:p>
      <w:pPr>
        <w:pStyle w:val="Heading2"/>
      </w:pPr>
      <w:r>
        <w:rPr>
          <w:color w:val="1F3A5F"/>
        </w:rPr>
        <w:t>9. Open questions</w:t>
      </w:r>
    </w:p>
    <w:p>
      <w:pPr>
        <w:pStyle w:val="ListBullet"/>
      </w:pPr>
      <w:r>
        <w:t xml:space="preserve">[question-second-pad-formulation-for-sensitive-skin] </w:t>
      </w:r>
      <w:r>
        <w:rPr>
          <w:b/>
        </w:rPr>
        <w:t>Question: Do We Need a Sensitive-Skin Pad Formulation?</w:t>
      </w:r>
      <w:r>
        <w:t xml:space="preserve"> — How many trial patients experience irritation severe enough to discontinue, and would a sensitive-skin pad variant address it in a tractable way?</w:t>
      </w:r>
    </w:p>
    <w:p>
      <w:pPr>
        <w:pStyle w:val="ListBullet"/>
      </w:pPr>
      <w:r>
        <w:t xml:space="preserve">[question-when-to-pursue-pediatric-clearance] </w:t>
      </w:r>
      <w:r>
        <w:rPr>
          <w:b/>
        </w:rPr>
        <w:t>Question: When to Pursue Pediatric Clearance?</w:t>
      </w:r>
      <w:r>
        <w:t xml:space="preserve"> — Under what conditions would Vitalisens flip from the non-pediatric pillar to actively pursuing a pediatric indication?</w:t>
      </w:r>
    </w:p>
    <w:p>
      <w:pPr>
        <w:pStyle w:val="Heading2"/>
      </w:pPr>
      <w:r>
        <w:rPr>
          <w:color w:val="1F3A5F"/>
        </w:rPr>
        <w:t>10. What we are explicitly not doing</w:t>
      </w:r>
    </w:p>
    <w:p>
      <w:r>
        <w:rPr>
          <w:b/>
        </w:rPr>
        <w:t>Non-goal pillars</w:t>
      </w:r>
      <w:r>
        <w:t xml:space="preserve"> (durable boundaries):</w:t>
      </w:r>
    </w:p>
    <w:p>
      <w:pPr>
        <w:pStyle w:val="Heading3"/>
      </w:pPr>
      <w:r>
        <w:rPr>
          <w:color w:val="3B82C4"/>
        </w:rPr>
        <w:t>Non-Goal: We Do Not Pursue Pediatric Use [pillar-no-pediatric-use]</w:t>
      </w:r>
    </w:p>
    <w:p>
      <w:r>
        <w:t>Vitalisens will not pursue indications, labeling, marketing, or clinical claims for pediatric patients (under 18) in v1 or v2 of the product.</w:t>
      </w:r>
    </w:p>
    <w:p>
      <w:r>
        <w:t>_Applies when:_ pediatric, child, children, adolescent, under-18, school-age, infant, neonatal, age-restricted indication, IFU expansion to younger populations</w:t>
      </w:r>
    </w:p>
    <w:p>
      <w:pPr>
        <w:pStyle w:val="Heading3"/>
      </w:pPr>
      <w:r>
        <w:rPr>
          <w:color w:val="3B82C4"/>
        </w:rPr>
        <w:t>Non-Goal: No Physical Documentation [pillar-no-physical-documentation]</w:t>
      </w:r>
    </w:p>
    <w:p>
      <w:r>
        <w:t>Vitalisens does not produce printed IFU, printed quick-start cards, printed user manuals, or printed in-box collateral. All documentation is online.</w:t>
      </w:r>
    </w:p>
    <w:p>
      <w:r>
        <w:t>_Applies when:_ documentation, IFU, user manual, quick start, in-box, packaging insert, printed insert, leaflet, instructions for use printing, e-IFU, electronic instructions for use, paper documentation</w:t>
      </w:r>
    </w:p>
    <w:p>
      <w:r>
        <w:rPr>
          <w:b/>
        </w:rPr>
        <w:t>Decisions and what they rule out:</w:t>
      </w:r>
    </w:p>
    <w:p>
      <w:pPr>
        <w:pStyle w:val="Heading3"/>
      </w:pPr>
      <w:r>
        <w:rPr>
          <w:color w:val="3B82C4"/>
        </w:rPr>
        <w:t>Decision 001: Online-Only Documentation [decision-001-online-only-documentation]</w:t>
      </w:r>
    </w:p>
    <w:p>
      <w:pPr>
        <w:pStyle w:val="ListBullet"/>
      </w:pPr>
      <w:r>
        <w:rPr>
          <w:b/>
        </w:rPr>
        <w:t>Printed IFU inserts.</w:t>
      </w:r>
      <w:r>
        <w:t xml:space="preserve"> The IFU is not printed at any point in the supply chain.</w:t>
      </w:r>
    </w:p>
    <w:p>
      <w:pPr>
        <w:pStyle w:val="ListBullet"/>
      </w:pPr>
      <w:r>
        <w:rPr>
          <w:b/>
        </w:rPr>
        <w:t>Printed quick-start cards.</w:t>
      </w:r>
      <w:r>
        <w:t xml:space="preserve"> No "getting started" cards ship in the box.</w:t>
      </w:r>
    </w:p>
    <w:p>
      <w:pPr>
        <w:pStyle w:val="ListBullet"/>
      </w:pPr>
      <w:r>
        <w:rPr>
          <w:b/>
        </w:rPr>
        <w:t>Printed user manuals.</w:t>
      </w:r>
      <w:r>
        <w:t xml:space="preserve"> No paper manuals are distributed.</w:t>
      </w:r>
    </w:p>
    <w:p>
      <w:pPr>
        <w:pStyle w:val="ListBullet"/>
      </w:pPr>
      <w:r>
        <w:rPr>
          <w:b/>
        </w:rPr>
        <w:t>Distributor-printed collateral.</w:t>
      </w:r>
      <w:r>
        <w:t xml:space="preserve"> Distributors are contractually prohibited from generating their own printed versions of the IFU or user manual.</w:t>
      </w:r>
    </w:p>
    <w:p>
      <w:pPr>
        <w:pStyle w:val="ListBullet"/>
      </w:pPr>
      <w:r>
        <w:rPr>
          <w:b/>
        </w:rPr>
        <w:t>PDF-by-email as the documentation distribution channel.</w:t>
      </w:r>
      <w:r>
        <w:t xml:space="preserve"> Documentation must live at a stable URL, not be emailed.</w:t>
      </w:r>
    </w:p>
    <w:p>
      <w:pPr>
        <w:pStyle w:val="Heading3"/>
      </w:pPr>
      <w:r>
        <w:rPr>
          <w:color w:val="3B82C4"/>
        </w:rPr>
        <w:t>Decision 002: Prescription-Only, Not Over-the-Counter [decision-002-prescription-only-not-otc]</w:t>
      </w:r>
    </w:p>
    <w:p>
      <w:pPr>
        <w:pStyle w:val="ListBullet"/>
      </w:pPr>
      <w:r>
        <w:rPr>
          <w:b/>
        </w:rPr>
        <w:t>OTC labeling.</w:t>
      </w:r>
      <w:r>
        <w:t xml:space="preserve"> Packaging and IFU will explicitly state Rx-only.</w:t>
      </w:r>
    </w:p>
    <w:p>
      <w:pPr>
        <w:pStyle w:val="ListBullet"/>
      </w:pPr>
      <w:r>
        <w:rPr>
          <w:b/>
        </w:rPr>
        <w:t>Consumer retail channels.</w:t>
      </w:r>
      <w:r>
        <w:t xml:space="preserve"> Vitalisens will not be sold in pharmacies, big-box retail, or DTC consumer e-commerce.</w:t>
      </w:r>
    </w:p>
    <w:p>
      <w:pPr>
        <w:pStyle w:val="ListBullet"/>
      </w:pPr>
      <w:r>
        <w:rPr>
          <w:b/>
        </w:rPr>
        <w:t>Consumer-direct marketing claims.</w:t>
      </w:r>
      <w:r>
        <w:t xml:space="preserve"> Marketing addresses clinicians (and patients via clinician referral), not general consumers.</w:t>
      </w:r>
    </w:p>
    <w:p>
      <w:pPr>
        <w:pStyle w:val="ListBullet"/>
      </w:pPr>
      <w:r>
        <w:rPr>
          <w:b/>
        </w:rPr>
        <w:t>OTC clearance pursuit.</w:t>
      </w:r>
      <w:r>
        <w:t xml:space="preserve"> No regulatory effort is allocated to an OTC pathway.</w:t>
      </w:r>
    </w:p>
    <w:p>
      <w:pPr>
        <w:pStyle w:val="Heading3"/>
      </w:pPr>
      <w:r>
        <w:rPr>
          <w:color w:val="3B82C4"/>
        </w:rPr>
        <w:t>Decision 003: 7-Day Pad Wear Time [decision-003-7-day-wear-not-14-day]</w:t>
      </w:r>
    </w:p>
    <w:p>
      <w:pPr>
        <w:pStyle w:val="ListBullet"/>
      </w:pPr>
      <w:r>
        <w:rPr>
          <w:b/>
        </w:rPr>
        <w:t>A 14-day Vitalisens Pad variant in v1.</w:t>
      </w:r>
      <w:r>
        <w:t xml:space="preserve"> No engineering work toward 14-day adhesion validation.</w:t>
      </w:r>
    </w:p>
    <w:p>
      <w:pPr>
        <w:pStyle w:val="ListBullet"/>
      </w:pPr>
      <w:r>
        <w:rPr>
          <w:b/>
        </w:rPr>
        <w:t>Labeling that implies extended wear.</w:t>
      </w:r>
      <w:r>
        <w:t xml:space="preserve"> IFU language will be explicit about the 7-day window.</w:t>
      </w:r>
    </w:p>
    <w:p>
      <w:pPr>
        <w:pStyle w:val="ListBullet"/>
      </w:pPr>
      <w:r>
        <w:rPr>
          <w:b/>
        </w:rPr>
        <w:t>Off-label "you can keep it on longer" marketing.</w:t>
      </w:r>
      <w:r>
        <w:t xml:space="preserve"> No language that encourages extended wear.</w:t>
      </w:r>
    </w:p>
    <w:p>
      <w:pPr>
        <w:pStyle w:val="Heading2"/>
      </w:pPr>
      <w:r>
        <w:rPr>
          <w:color w:val="1F3A5F"/>
        </w:rPr>
        <w:t>11. Sources</w:t>
      </w:r>
    </w:p>
    <w:p>
      <w:r>
        <w:t xml:space="preserve">A bibliography of every source node in this vault, labeled by </w:t>
      </w:r>
      <w:r>
        <w:rPr>
          <w:rFonts w:ascii="Courier New" w:hAnsi="Courier New"/>
        </w:rPr>
        <w:t>source_kind</w:t>
      </w:r>
      <w:r>
        <w:t>. Citations elsewhere in this document point at the node ids listed here.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3A5F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color w:val="1F3A5F"/>
              </w:rPr>
              <w:t>Kind</w:t>
            </w:r>
          </w:p>
        </w:tc>
        <w:tc>
          <w:tcPr>
            <w:tcW w:type="dxa" w:w="2880"/>
          </w:tcPr>
          <w:p>
            <w:r>
              <w:rPr>
                <w:b/>
                <w:color w:val="1F3A5F"/>
              </w:rPr>
              <w:t>Title</w:t>
            </w:r>
          </w:p>
        </w:tc>
      </w:tr>
      <w:tr>
        <w:tc>
          <w:tcPr>
            <w:tcW w:type="dxa" w:w="2880"/>
          </w:tcPr>
          <w:p>
            <w:r>
              <w:t>[source-citation-aha-mct-guidelines-2024]</w:t>
            </w:r>
          </w:p>
        </w:tc>
        <w:tc>
          <w:tcPr>
            <w:tcW w:type="dxa" w:w="2880"/>
          </w:tcPr>
          <w:p>
            <w:r>
              <w:t>citation</w:t>
            </w:r>
          </w:p>
        </w:tc>
        <w:tc>
          <w:tcPr>
            <w:tcW w:type="dxa" w:w="2880"/>
          </w:tcPr>
          <w:p>
            <w:r>
              <w:t>Citation: AHA MCT Clinical Guidelines (fictional 2024 edition)</w:t>
            </w:r>
          </w:p>
        </w:tc>
      </w:tr>
      <w:tr>
        <w:tc>
          <w:tcPr>
            <w:tcW w:type="dxa" w:w="2880"/>
          </w:tcPr>
          <w:p>
            <w:r>
              <w:t>[source-customer-interview-2026-04-12-nurse-anderson]</w:t>
            </w:r>
          </w:p>
        </w:tc>
        <w:tc>
          <w:tcPr>
            <w:tcW w:type="dxa" w:w="2880"/>
          </w:tcPr>
          <w:p>
            <w:r>
              <w:t>customer-interview</w:t>
            </w:r>
          </w:p>
        </w:tc>
        <w:tc>
          <w:tcPr>
            <w:tcW w:type="dxa" w:w="2880"/>
          </w:tcPr>
          <w:p>
            <w:r>
              <w:t>Customer Interview: Nurse Anderson (Northstar Cardiology, 2026-04-12)</w:t>
            </w:r>
          </w:p>
        </w:tc>
      </w:tr>
      <w:tr>
        <w:tc>
          <w:tcPr>
            <w:tcW w:type="dxa" w:w="2880"/>
          </w:tcPr>
          <w:p>
            <w:r>
              <w:t>[source-domain-expertise-saunders-cardiology-2026]</w:t>
            </w:r>
          </w:p>
        </w:tc>
        <w:tc>
          <w:tcPr>
            <w:tcW w:type="dxa" w:w="2880"/>
          </w:tcPr>
          <w:p>
            <w:r>
              <w:t>domain-expertise</w:t>
            </w:r>
          </w:p>
        </w:tc>
        <w:tc>
          <w:tcPr>
            <w:tcW w:type="dxa" w:w="2880"/>
          </w:tcPr>
          <w:p>
            <w:r>
              <w:t>Domain Expertise: Saunders, 20 Years of Cardiology Workflow</w:t>
            </w:r>
          </w:p>
        </w:tc>
      </w:tr>
      <w:tr>
        <w:tc>
          <w:tcPr>
            <w:tcW w:type="dxa" w:w="2880"/>
          </w:tcPr>
          <w:p>
            <w:r>
              <w:t>[source-fda-510k-summary-K231234-cardiotrace]</w:t>
            </w:r>
          </w:p>
        </w:tc>
        <w:tc>
          <w:tcPr>
            <w:tcW w:type="dxa" w:w="2880"/>
          </w:tcPr>
          <w:p>
            <w:r>
              <w:t>fda-510k-summary</w:t>
            </w:r>
          </w:p>
        </w:tc>
        <w:tc>
          <w:tcPr>
            <w:tcW w:type="dxa" w:w="2880"/>
          </w:tcPr>
          <w:p>
            <w:r>
              <w:t>FDA 510(k) Summary: K231234 (CardioTrace Pro v2)</w:t>
            </w:r>
          </w:p>
        </w:tc>
      </w:tr>
      <w:tr>
        <w:tc>
          <w:tcPr>
            <w:tcW w:type="dxa" w:w="2880"/>
          </w:tcPr>
          <w:p>
            <w:r>
              <w:t>[source-internal-data-q1-2026-pad-attach-rate]</w:t>
            </w:r>
          </w:p>
        </w:tc>
        <w:tc>
          <w:tcPr>
            <w:tcW w:type="dxa" w:w="2880"/>
          </w:tcPr>
          <w:p>
            <w:r>
              <w:t>internal-data</w:t>
            </w:r>
          </w:p>
        </w:tc>
        <w:tc>
          <w:tcPr>
            <w:tcW w:type="dxa" w:w="2880"/>
          </w:tcPr>
          <w:p>
            <w:r>
              <w:t>Internal Data: Q1 2026 Pad Attach Rate Cohort</w:t>
            </w:r>
          </w:p>
        </w:tc>
      </w:tr>
      <w:tr>
        <w:tc>
          <w:tcPr>
            <w:tcW w:type="dxa" w:w="2880"/>
          </w:tcPr>
          <w:p>
            <w:r>
              <w:t>[source-market-data-cardiac-monitor-tam-2025]</w:t>
            </w:r>
          </w:p>
        </w:tc>
        <w:tc>
          <w:tcPr>
            <w:tcW w:type="dxa" w:w="2880"/>
          </w:tcPr>
          <w:p>
            <w:r>
              <w:t>market-data</w:t>
            </w:r>
          </w:p>
        </w:tc>
        <w:tc>
          <w:tcPr>
            <w:tcW w:type="dxa" w:w="2880"/>
          </w:tcPr>
          <w:p>
            <w:r>
              <w:t>Market Data: US Ambulatory Cardiac Monitor TAM (fictional 2025 report)</w:t>
            </w:r>
          </w:p>
        </w:tc>
      </w:tr>
      <w:tr>
        <w:tc>
          <w:tcPr>
            <w:tcW w:type="dxa" w:w="2880"/>
          </w:tcPr>
          <w:p>
            <w:r>
              <w:t>[source-press-release-cardiotrace-2025-q3-launch]</w:t>
            </w:r>
          </w:p>
        </w:tc>
        <w:tc>
          <w:tcPr>
            <w:tcW w:type="dxa" w:w="2880"/>
          </w:tcPr>
          <w:p>
            <w:r>
              <w:t>press-release</w:t>
            </w:r>
          </w:p>
        </w:tc>
        <w:tc>
          <w:tcPr>
            <w:tcW w:type="dxa" w:w="2880"/>
          </w:tcPr>
          <w:p>
            <w:r>
              <w:t>Press Release: CardioTrace Announces Pro Expanded Clearance (2025 Q3)</w:t>
            </w:r>
          </w:p>
        </w:tc>
      </w:tr>
      <w:tr>
        <w:tc>
          <w:tcPr>
            <w:tcW w:type="dxa" w:w="2880"/>
          </w:tcPr>
          <w:p>
            <w:r>
              <w:t>[source-strategic-thesis-disposable-pad-recurring-revenue]</w:t>
            </w:r>
          </w:p>
        </w:tc>
        <w:tc>
          <w:tcPr>
            <w:tcW w:type="dxa" w:w="2880"/>
          </w:tcPr>
          <w:p>
            <w:r>
              <w:t>strategic-thesis</w:t>
            </w:r>
          </w:p>
        </w:tc>
        <w:tc>
          <w:tcPr>
            <w:tcW w:type="dxa" w:w="2880"/>
          </w:tcPr>
          <w:p>
            <w:r>
              <w:t>Strategic Thesis: Disposable Pad as Recurring Revenue Engine</w:t>
            </w:r>
          </w:p>
        </w:tc>
      </w:tr>
      <w:tr>
        <w:tc>
          <w:tcPr>
            <w:tcW w:type="dxa" w:w="2880"/>
          </w:tcPr>
          <w:p>
            <w:r>
              <w:t>[source-vision-saunders-2026-cardiac-workflow-thesis]</w:t>
            </w:r>
          </w:p>
        </w:tc>
        <w:tc>
          <w:tcPr>
            <w:tcW w:type="dxa" w:w="2880"/>
          </w:tcPr>
          <w:p>
            <w:r>
              <w:t>founder-vision</w:t>
            </w:r>
          </w:p>
        </w:tc>
        <w:tc>
          <w:tcPr>
            <w:tcW w:type="dxa" w:w="2880"/>
          </w:tcPr>
          <w:p>
            <w:r>
              <w:t>Founder Vision: The Cardiac Workflow Bottleneck (Saunders, 2026)</w:t>
            </w:r>
          </w:p>
        </w:tc>
      </w:tr>
      <w:tr>
        <w:tc>
          <w:tcPr>
            <w:tcW w:type="dxa" w:w="2880"/>
          </w:tcPr>
          <w:p>
            <w:r>
              <w:t>[source-web-snapshot-cardiotrace-product-page-2026-05-20]</w:t>
            </w:r>
          </w:p>
        </w:tc>
        <w:tc>
          <w:tcPr>
            <w:tcW w:type="dxa" w:w="2880"/>
          </w:tcPr>
          <w:p>
            <w:r>
              <w:t>web-snapshot</w:t>
            </w:r>
          </w:p>
        </w:tc>
        <w:tc>
          <w:tcPr>
            <w:tcW w:type="dxa" w:w="2880"/>
          </w:tcPr>
          <w:p>
            <w:r>
              <w:t>Web Snapshot: CardioTrace Pro Product Page (2026-05-20)</w:t>
            </w:r>
          </w:p>
        </w:tc>
      </w:tr>
    </w:tbl>
    <w:p>
      <w:pPr>
        <w:jc w:val="center"/>
      </w:pPr>
      <w:r>
        <w:rPr>
          <w:color w:val="9CA3AF"/>
        </w:rPr>
        <w:t>────────────────────────────────────────</w:t>
      </w:r>
    </w:p>
    <w:p>
      <w:pPr>
        <w:spacing w:before="120" w:after="120"/>
        <w:ind w:left="360" w:right="360"/>
      </w:pPr>
      <w:r>
        <w:rPr>
          <w:i/>
        </w:rPr>
        <w:t>This is a planning artifact. It is not a controlled document and is not part of any design history file, risk management file, or traceability matrix per ISO 14971, IEC 62304, or 21 CFR 820.</w:t>
      </w:r>
    </w:p>
    <w:p>
      <w:r>
        <w:t xml:space="preserve">_company-brain v0.3.0 · MRD generated 2026-05-24 from vault at </w:t>
      </w:r>
      <w:r>
        <w:rPr>
          <w:rFonts w:ascii="Courier New" w:hAnsi="Courier New"/>
        </w:rPr>
        <w:t>/Volumes/Casima/claudeCode/CompanyWiki/company-brain/examples/meddev-fictional</w:t>
      </w:r>
      <w:r>
        <w:t>._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erif Pro" w:hAnsi="Source Serif Pr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