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7C3AED"/>
        </w:rPr>
        <w:t>Marketing Requirements Document</w:t>
      </w:r>
    </w:p>
    <w:p>
      <w:pPr>
        <w:spacing w:before="120" w:after="120"/>
        <w:ind w:left="360" w:right="360"/>
      </w:pPr>
      <w:r>
        <w:rPr>
          <w:i/>
        </w:rPr>
        <w:t>Vault: `/Volumes/Casima/claudeCode/CompanyWiki/company-brain/examples/saas-fictional` · Profile: `default`</w:t>
      </w:r>
    </w:p>
    <w:p>
      <w:pPr>
        <w:pStyle w:val="Heading2"/>
      </w:pPr>
      <w:r>
        <w:rPr>
          <w:color w:val="7C3AED"/>
        </w:rPr>
        <w:t>1. Executive summary</w:t>
      </w:r>
    </w:p>
    <w:p>
      <w:r>
        <w:t>The 3 governing principles of this company shape every section that follows. The product set is anchored on 1 product, positioned against 2 known competitors.</w:t>
      </w:r>
    </w:p>
    <w:p>
      <w:r>
        <w:rPr>
          <w:b/>
        </w:rPr>
        <w:t>Top principles:</w:t>
      </w:r>
    </w:p>
    <w:p>
      <w:pPr>
        <w:pStyle w:val="ListBullet"/>
      </w:pPr>
      <w:r>
        <w:t xml:space="preserve">[pillar-icp-vpe-scaling-saas] </w:t>
      </w:r>
      <w:r>
        <w:rPr>
          <w:b/>
        </w:rPr>
        <w:t>ICP: VPE at Scaling B2B SaaS (50–250 Engineers)</w:t>
      </w:r>
      <w:r>
        <w:t xml:space="preserve"> — Loftwing serves VPs of Engineering and CTOs at B2B SaaS companies between Series A and Series C (roughly 50–250 engineers).</w:t>
      </w:r>
    </w:p>
    <w:p>
      <w:pPr>
        <w:pStyle w:val="ListBullet"/>
      </w:pPr>
      <w:r>
        <w:t xml:space="preserve">[pillar-self-serve-over-enterprise-sales] </w:t>
      </w:r>
      <w:r>
        <w:rPr>
          <w:b/>
        </w:rPr>
        <w:t>Self-Serve Setup Over Enterprise Sales Motion</w:t>
      </w:r>
      <w:r>
        <w:t xml:space="preserve"> — A new user must be able to connect Loftwing to their stack and see the first dashboard in under 10 minutes, without talking to sales.</w:t>
      </w:r>
    </w:p>
    <w:p>
      <w:pPr>
        <w:pStyle w:val="ListBullet"/>
      </w:pPr>
      <w:r>
        <w:t xml:space="preserve">[pillar-team-level-signal] </w:t>
      </w:r>
      <w:r>
        <w:rPr>
          <w:b/>
        </w:rPr>
        <w:t>Team-Level Signal Over Individual-Contributor Metrics</w:t>
      </w:r>
      <w:r>
        <w:t xml:space="preserve"> — Every Loftwing metric and dashboard view is scoped to the team or higher; we do not surface or score individual contributors.</w:t>
      </w:r>
    </w:p>
    <w:p>
      <w:r>
        <w:rPr>
          <w:b/>
        </w:rPr>
        <w:t>What we are explicitly not doing</w:t>
      </w:r>
      <w:r>
        <w:t xml:space="preserve"> (full detail in §10):</w:t>
      </w:r>
    </w:p>
    <w:p>
      <w:pPr>
        <w:pStyle w:val="ListBullet"/>
      </w:pPr>
      <w:r>
        <w:t>[pillar-no-consumer-market] Non-Goal: No Consumer Market</w:t>
      </w:r>
    </w:p>
    <w:p>
      <w:pPr>
        <w:pStyle w:val="ListBullet"/>
      </w:pPr>
      <w:r>
        <w:t>[pillar-no-developer-surveillance] Non-Goal: No Developer Surveillance</w:t>
      </w:r>
    </w:p>
    <w:p>
      <w:pPr>
        <w:pStyle w:val="Heading2"/>
      </w:pPr>
      <w:r>
        <w:rPr>
          <w:color w:val="7C3AED"/>
        </w:rPr>
        <w:t>2. Vision and positioning</w:t>
      </w:r>
    </w:p>
    <w:p>
      <w:r>
        <w:t>The company's positioning rests on the following pillars:</w:t>
      </w:r>
    </w:p>
    <w:p>
      <w:pPr>
        <w:pStyle w:val="Heading3"/>
      </w:pPr>
      <w:r>
        <w:rPr>
          <w:color w:val="0EA5E9"/>
        </w:rPr>
        <w:t>ICP: VPE at Scaling B2B SaaS (50–250 Engineers) [pillar-icp-vpe-scaling-saas]</w:t>
      </w:r>
    </w:p>
    <w:p>
      <w:r>
        <w:t>Loftwing serves VPs of Engineering and CTOs at B2B SaaS companies between Series A and Series C (roughly 50–250 engineers).</w:t>
      </w:r>
    </w:p>
    <w:p>
      <w:r>
        <w:t>_Applies when:_ ICP, target market, audience, who we serve, segment, persona, vertical, customer profile, deal size, sales motion</w:t>
      </w:r>
    </w:p>
    <w:p>
      <w:pPr>
        <w:pStyle w:val="Heading3"/>
      </w:pPr>
      <w:r>
        <w:rPr>
          <w:color w:val="0EA5E9"/>
        </w:rPr>
        <w:t>Self-Serve Setup Over Enterprise Sales Motion [pillar-self-serve-over-enterprise-sales]</w:t>
      </w:r>
    </w:p>
    <w:p>
      <w:r>
        <w:t>A new user must be able to connect Loftwing to their stack and see the first dashboard in under 10 minutes, without talking to sales.</w:t>
      </w:r>
    </w:p>
    <w:p>
      <w:r>
        <w:t>_Applies when:_ pricing, sales motion, onboarding, signup, setup, time-to-value, GTM, PLG, self-serve, enterprise, demo, contact-sales</w:t>
      </w:r>
    </w:p>
    <w:p>
      <w:pPr>
        <w:pStyle w:val="Heading3"/>
      </w:pPr>
      <w:r>
        <w:rPr>
          <w:color w:val="0EA5E9"/>
        </w:rPr>
        <w:t>Team-Level Signal Over Individual-Contributor Metrics [pillar-team-level-signal]</w:t>
      </w:r>
    </w:p>
    <w:p>
      <w:r>
        <w:t>Every Loftwing metric and dashboard view is scoped to the team or higher; we do not surface or score individual contributors.</w:t>
      </w:r>
    </w:p>
    <w:p>
      <w:r>
        <w:t>_Applies when:_ metrics, dashboards, surveillance, IC, individual, developer, ranking, scoring, performance, productivity, monitoring, observability of people</w:t>
      </w:r>
    </w:p>
    <w:p>
      <w:r>
        <w:rPr>
          <w:b/>
        </w:rPr>
        <w:t>Vision sources</w:t>
      </w:r>
      <w:r>
        <w:t xml:space="preserve"> (founder-vision, strategic-thesis, domain-expertise):</w:t>
      </w:r>
    </w:p>
    <w:p>
      <w:pPr>
        <w:pStyle w:val="ListBullet"/>
      </w:pPr>
      <w:r>
        <w:t>[source-domain-expertise-12-years-eng-management] _domain-expertise_ — Domain Expertise: 12 Years of Engineering Management (Founder)</w:t>
      </w:r>
    </w:p>
    <w:p>
      <w:pPr>
        <w:pStyle w:val="ListBullet"/>
      </w:pPr>
      <w:r>
        <w:t>[source-strategic-thesis-team-level-metrics] _strategic-thesis_ — Strategic Thesis: Team-Level Metrics Over Individual-Contributor Metrics</w:t>
      </w:r>
    </w:p>
    <w:p>
      <w:pPr>
        <w:pStyle w:val="ListBullet"/>
      </w:pPr>
      <w:r>
        <w:t>[source-vision-loftwing-2026] _founder-vision_ — Founder Vision: Engineering Velocity is a Board-Level Conversation (Loftwing, 2026)</w:t>
      </w:r>
    </w:p>
    <w:p>
      <w:pPr>
        <w:pStyle w:val="Heading2"/>
      </w:pPr>
      <w:r>
        <w:rPr>
          <w:color w:val="7C3AED"/>
        </w:rPr>
        <w:t>3. Market and personas</w:t>
      </w:r>
    </w:p>
    <w:p>
      <w:r>
        <w:rPr>
          <w:b/>
        </w:rPr>
        <w:t>Personas:</w:t>
      </w:r>
    </w:p>
    <w:p>
      <w:pPr>
        <w:pStyle w:val="ListBullet"/>
      </w:pPr>
      <w:r>
        <w:t xml:space="preserve">[persona-vpe-scaling-saas] </w:t>
      </w:r>
      <w:r>
        <w:rPr>
          <w:b/>
        </w:rPr>
        <w:t>Persona: VPE at Scaling B2B SaaS</w:t>
      </w:r>
      <w:r>
        <w:t xml:space="preserve"> — VP of Engineering at a 50–250-engineer B2B SaaS company. Owns engineering velocity outcomes; answers to a non-technical board quarterly.</w:t>
      </w:r>
    </w:p>
    <w:p>
      <w:r>
        <w:rPr>
          <w:b/>
        </w:rPr>
        <w:t>Named customer references:</w:t>
      </w:r>
    </w:p>
    <w:p>
      <w:pPr>
        <w:pStyle w:val="ListBullet"/>
      </w:pPr>
      <w:r>
        <w:t>[customer-northgate-2026] Northgate (fictional Series-B SaaS, ~80 engineers) — First named customer reference; series-B B2B SaaS at ~80 engineers; on a Team plan; VPE was interviewed 2026-03-11.</w:t>
      </w:r>
    </w:p>
    <w:p>
      <w:pPr>
        <w:pStyle w:val="Heading2"/>
      </w:pPr>
      <w:r>
        <w:rPr>
          <w:color w:val="7C3AED"/>
        </w:rPr>
        <w:t>4. Market requirements</w:t>
      </w:r>
    </w:p>
    <w:p>
      <w:pPr>
        <w:pStyle w:val="ListBullet"/>
      </w:pPr>
      <w:r>
        <w:t xml:space="preserve">[requirement-mkt-001-board-legible-velocity-story] </w:t>
      </w:r>
      <w:r>
        <w:rPr>
          <w:b/>
        </w:rPr>
        <w:t>Market Requirement: Board-Legible Engineering Velocity Story</w:t>
      </w:r>
      <w:r>
        <w:t xml:space="preserve"> — The product must let a VPE assemble a one-screen engineering-velocity story that a non-technical board reviewer can read in under 2 minutes.</w:t>
      </w:r>
    </w:p>
    <w:p>
      <w:pPr>
        <w:pStyle w:val="Heading2"/>
      </w:pPr>
      <w:r>
        <w:rPr>
          <w:color w:val="7C3AED"/>
        </w:rPr>
        <w:t>5. Competitive landscape</w:t>
      </w:r>
    </w:p>
    <w:p>
      <w:pPr>
        <w:pStyle w:val="Heading3"/>
      </w:pPr>
      <w:r>
        <w:rPr>
          <w:color w:val="0EA5E9"/>
        </w:rPr>
        <w:t>FlightPath [competitor-flightpath-eng]</w:t>
      </w:r>
    </w:p>
    <w:p>
      <w:r>
        <w:t>Direct fictional competitor in engineering analytics; per-seat pricing, recently raised a Series B and moving up-market.</w:t>
      </w:r>
    </w:p>
    <w:p>
      <w:pPr>
        <w:pStyle w:val="ListBullet"/>
      </w:pPr>
      <w:r>
        <w:rPr>
          <w:b/>
        </w:rPr>
        <w:t>Canonical URL:</w:t>
      </w:r>
      <w:r>
        <w:t xml:space="preserve"> https://flightpath-eng.example.com</w:t>
      </w:r>
    </w:p>
    <w:p>
      <w:pPr>
        <w:pStyle w:val="Heading3"/>
      </w:pPr>
      <w:r>
        <w:rPr>
          <w:color w:val="0EA5E9"/>
        </w:rPr>
        <w:t>Tetherline Analytics [competitor-tetherline-analytics]</w:t>
      </w:r>
    </w:p>
    <w:p>
      <w:r>
        <w:t>Adjacent fictional competitor; positioned for the Fortune 500 enterprise engineering analytics market with a $200k+ annual minimum contract.</w:t>
      </w:r>
    </w:p>
    <w:p>
      <w:pPr>
        <w:pStyle w:val="ListBullet"/>
      </w:pPr>
      <w:r>
        <w:rPr>
          <w:b/>
        </w:rPr>
        <w:t>Canonical URL:</w:t>
      </w:r>
      <w:r>
        <w:t xml:space="preserve"> https://tetherline.example.com</w:t>
      </w:r>
    </w:p>
    <w:p>
      <w:pPr>
        <w:pStyle w:val="Heading2"/>
      </w:pPr>
      <w:r>
        <w:rPr>
          <w:color w:val="7C3AED"/>
        </w:rPr>
        <w:t>6. Evidence vs. vision split</w:t>
      </w:r>
    </w:p>
    <w:p>
      <w:r>
        <w:t>A breakdown of which claims in this vault are grounded in evidence (customer interviews, market data, internal telemetry, FDA filings, web snapshots, press releases) and which are vision-driven (founder vision, strategic thesis, domain expertise). Both are legitimate; conflating them silently is the failure mode this section prevents.</w:t>
      </w:r>
    </w:p>
    <w:p>
      <w:pPr>
        <w:pStyle w:val="ListBullet"/>
      </w:pPr>
      <w:r>
        <w:rPr>
          <w:b/>
        </w:rPr>
        <w:t>Evidence-derived claims:</w:t>
      </w:r>
      <w:r>
        <w:t xml:space="preserve"> 6</w:t>
      </w:r>
    </w:p>
    <w:p>
      <w:pPr>
        <w:pStyle w:val="ListBullet"/>
      </w:pPr>
      <w:r>
        <w:rPr>
          <w:b/>
        </w:rPr>
        <w:t>Vision-derived claims:</w:t>
      </w:r>
      <w:r>
        <w:t xml:space="preserve"> 4</w:t>
      </w:r>
    </w:p>
    <w:p>
      <w:pPr>
        <w:pStyle w:val="ListBullet"/>
      </w:pPr>
      <w:r>
        <w:rPr>
          <w:b/>
        </w:rPr>
        <w:t>Uncited claims:</w:t>
      </w:r>
      <w:r>
        <w:t xml:space="preserve"> 8 _(should be addressed — every load-bearing claim should derive from a source)_</w:t>
      </w:r>
    </w:p>
    <w:p>
      <w:r>
        <w:rPr>
          <w:b/>
        </w:rPr>
        <w:t>Uncited claims to address:</w:t>
      </w:r>
    </w:p>
    <w:p>
      <w:pPr>
        <w:pStyle w:val="ListBullet"/>
      </w:pPr>
      <w:r>
        <w:t>[fact-team-size-2026-q2] Fact: Loftwing Team Size — 2026 Q2</w:t>
      </w:r>
    </w:p>
    <w:p>
      <w:pPr>
        <w:pStyle w:val="ListBullet"/>
      </w:pPr>
      <w:r>
        <w:t>[fact-weekly-active-teams-2026-w14] Fact: Weekly Active Teams — 2026 Week 14</w:t>
      </w:r>
    </w:p>
    <w:p>
      <w:pPr>
        <w:pStyle w:val="ListBullet"/>
      </w:pPr>
      <w:r>
        <w:t>[hypothesis-dashboard-url-shared-in-slack-predicts-retention] Hypothesis: Dashboard URL Shared in Slack Within 7 Days Predicts 90-Day Retention</w:t>
      </w:r>
    </w:p>
    <w:p>
      <w:pPr>
        <w:pStyle w:val="ListBullet"/>
      </w:pPr>
      <w:r>
        <w:t>[hypothesis-self-serve-under-10-min-converts-25pct] Hypothesis: Self-Serve Under 10 Minutes Converts at 25%+</w:t>
      </w:r>
    </w:p>
    <w:p>
      <w:pPr>
        <w:pStyle w:val="ListBullet"/>
      </w:pPr>
      <w:r>
        <w:t>[requirement-mkt-001-board-legible-velocity-story] Market Requirement: Board-Legible Engineering Velocity Story</w:t>
      </w:r>
    </w:p>
    <w:p>
      <w:pPr>
        <w:pStyle w:val="ListBullet"/>
      </w:pPr>
      <w:r>
        <w:t>[requirement-sw-001-oauth-for-integrations] Software Requirement: OAuth for All Third-Party Integrations</w:t>
      </w:r>
    </w:p>
    <w:p>
      <w:pPr>
        <w:pStyle w:val="ListBullet"/>
      </w:pPr>
      <w:r>
        <w:t>[requirement-sys-001-three-source-aggregation] System Requirement: Three-Source Aggregation</w:t>
      </w:r>
    </w:p>
    <w:p>
      <w:pPr>
        <w:pStyle w:val="ListBullet"/>
      </w:pPr>
      <w:r>
        <w:t>[requirement-user-001-self-serve-integration-setup] User Requirement: Self-Serve Integration Setup</w:t>
      </w:r>
    </w:p>
    <w:p>
      <w:pPr>
        <w:pStyle w:val="Heading2"/>
      </w:pPr>
      <w:r>
        <w:rPr>
          <w:color w:val="7C3AED"/>
        </w:rPr>
        <w:t>7. Open questions</w:t>
      </w:r>
    </w:p>
    <w:p>
      <w:pPr>
        <w:pStyle w:val="ListBullet"/>
      </w:pPr>
      <w:r>
        <w:t xml:space="preserve">[question-add-team-health-sentiment-input] </w:t>
      </w:r>
      <w:r>
        <w:rPr>
          <w:b/>
        </w:rPr>
        <w:t>Question: Add a Team-Health Sentiment Input?</w:t>
      </w:r>
      <w:r>
        <w:t xml:space="preserve"> — Should Loftwing accept a weekly team-health sentiment input (e.g., a single-emoji pulse from each team's lead) and surface it alongside the velocity metrics?</w:t>
      </w:r>
    </w:p>
    <w:p>
      <w:pPr>
        <w:pStyle w:val="ListBullet"/>
      </w:pPr>
      <w:r>
        <w:t xml:space="preserve">[question-when-to-add-gitlab-support] </w:t>
      </w:r>
      <w:r>
        <w:rPr>
          <w:b/>
        </w:rPr>
        <w:t>Question: When to Add GitLab Support?</w:t>
      </w:r>
      <w:r>
        <w:t xml:space="preserve"> — Under what conditions should Loftwing add GitLab support, given v1 ships GitHub-only per decision-002?</w:t>
      </w:r>
    </w:p>
    <w:p>
      <w:pPr>
        <w:pStyle w:val="Heading2"/>
      </w:pPr>
      <w:r>
        <w:rPr>
          <w:color w:val="7C3AED"/>
        </w:rPr>
        <w:t>8. What we are explicitly not doing</w:t>
      </w:r>
    </w:p>
    <w:p>
      <w:r>
        <w:rPr>
          <w:b/>
        </w:rPr>
        <w:t>Non-goal pillars</w:t>
      </w:r>
      <w:r>
        <w:t xml:space="preserve"> (durable boundaries):</w:t>
      </w:r>
    </w:p>
    <w:p>
      <w:pPr>
        <w:pStyle w:val="Heading3"/>
      </w:pPr>
      <w:r>
        <w:rPr>
          <w:color w:val="0EA5E9"/>
        </w:rPr>
        <w:t>Non-Goal: No Consumer Market [pillar-no-consumer-market]</w:t>
      </w:r>
    </w:p>
    <w:p>
      <w:r>
        <w:t>Loftwing is and remains a B2B SaaS product sold to companies. We do not sell to individual developers, indie hackers, or consumers.</w:t>
      </w:r>
    </w:p>
    <w:p>
      <w:r>
        <w:t>_Applies when:_ consumer, B2C, individual developer, indie, freelancer, hobbyist, personal use, side project, retail, app store</w:t>
      </w:r>
    </w:p>
    <w:p>
      <w:pPr>
        <w:pStyle w:val="Heading3"/>
      </w:pPr>
      <w:r>
        <w:rPr>
          <w:color w:val="0EA5E9"/>
        </w:rPr>
        <w:t>Non-Goal: No Developer Surveillance [pillar-no-developer-surveillance]</w:t>
      </w:r>
    </w:p>
    <w:p>
      <w:r>
        <w:t>Loftwing will never ship features that score, rank, or surveil individual contributors. The smallest unit of analysis we expose is the team.</w:t>
      </w:r>
    </w:p>
    <w:p>
      <w:r>
        <w:t>_Applies when:_ individual, IC, surveillance, scoring, ranking, developer monitoring, productivity score, performance review, leaderboard, contribution metrics, code metrics per person</w:t>
      </w:r>
    </w:p>
    <w:p>
      <w:r>
        <w:rPr>
          <w:b/>
        </w:rPr>
        <w:t>Decisions and what they rule out:</w:t>
      </w:r>
    </w:p>
    <w:p>
      <w:pPr>
        <w:pStyle w:val="Heading3"/>
      </w:pPr>
      <w:r>
        <w:rPr>
          <w:color w:val="0EA5E9"/>
        </w:rPr>
        <w:t>Decision 001: PLG-First, Not Enterprise Sales [decision-001-plg-first-not-enterprise]</w:t>
      </w:r>
    </w:p>
    <w:p>
      <w:pPr>
        <w:pStyle w:val="ListBullet"/>
      </w:pPr>
      <w:r>
        <w:rPr>
          <w:b/>
        </w:rPr>
        <w:t>Hiring AEs / BDRs in v1.</w:t>
      </w:r>
      <w:r>
        <w:t xml:space="preserve"> No outbound sales motion. No SDR org.</w:t>
      </w:r>
    </w:p>
    <w:p>
      <w:pPr>
        <w:pStyle w:val="ListBullet"/>
      </w:pPr>
      <w:r>
        <w:rPr>
          <w:b/>
        </w:rPr>
        <w:t>Forced demos before signup.</w:t>
      </w:r>
      <w:r>
        <w:t xml:space="preserve"> Trial signup is one click away from the homepage.</w:t>
      </w:r>
    </w:p>
    <w:p>
      <w:pPr>
        <w:pStyle w:val="ListBullet"/>
      </w:pPr>
      <w:r>
        <w:rPr>
          <w:b/>
        </w:rPr>
        <w:t>Six-figure annual contracts.</w:t>
      </w:r>
      <w:r>
        <w:t xml:space="preserve"> Pricing tops out below the procurement-required threshold (see [decision-003](decision-003-workspace-pricing-not-seat-based.md)).</w:t>
      </w:r>
    </w:p>
    <w:p>
      <w:pPr>
        <w:pStyle w:val="ListBullet"/>
      </w:pPr>
      <w:r>
        <w:rPr>
          <w:b/>
        </w:rPr>
        <w:t>Custom enterprise contract language.</w:t>
      </w:r>
      <w:r>
        <w:t xml:space="preserve"> We sign self-serve SaaS terms only in v1.</w:t>
      </w:r>
    </w:p>
    <w:p>
      <w:pPr>
        <w:pStyle w:val="Heading3"/>
      </w:pPr>
      <w:r>
        <w:rPr>
          <w:color w:val="0EA5E9"/>
        </w:rPr>
        <w:t>Decision 002: Three Integrations Only in v1 (GitHub, Linear, Jira) [decision-002-three-integrations-only-in-v1]</w:t>
      </w:r>
    </w:p>
    <w:p>
      <w:pPr>
        <w:pStyle w:val="ListBullet"/>
      </w:pPr>
      <w:r>
        <w:rPr>
          <w:b/>
        </w:rPr>
        <w:t>GitLab support in v1.</w:t>
      </w:r>
      <w:r>
        <w:t xml:space="preserve"> GitLab users see a "coming in v2" message at signup.</w:t>
      </w:r>
    </w:p>
    <w:p>
      <w:pPr>
        <w:pStyle w:val="ListBullet"/>
      </w:pPr>
      <w:r>
        <w:rPr>
          <w:b/>
        </w:rPr>
        <w:t>Bitbucket support in v1.</w:t>
      </w:r>
      <w:r>
        <w:t xml:space="preserve"> Same.</w:t>
      </w:r>
    </w:p>
    <w:p>
      <w:pPr>
        <w:pStyle w:val="ListBullet"/>
      </w:pPr>
      <w:r>
        <w:rPr>
          <w:b/>
        </w:rPr>
        <w:t>Azure DevOps support in v1.</w:t>
      </w:r>
      <w:r>
        <w:t xml:space="preserve"> Same.</w:t>
      </w:r>
    </w:p>
    <w:p>
      <w:pPr>
        <w:pStyle w:val="ListBullet"/>
      </w:pPr>
      <w:r>
        <w:rPr>
          <w:b/>
        </w:rPr>
        <w:t>Pivotal Tracker, Asana, Shortcut, ClickUp.</w:t>
      </w:r>
      <w:r>
        <w:t xml:space="preserve"> Not in v1.</w:t>
      </w:r>
    </w:p>
    <w:p>
      <w:pPr>
        <w:pStyle w:val="ListBullet"/>
      </w:pPr>
      <w:r>
        <w:rPr>
          <w:b/>
        </w:rPr>
        <w:t>Generic webhook intake.</w:t>
      </w:r>
      <w:r>
        <w:t xml:space="preserve"> Not in v1.</w:t>
      </w:r>
    </w:p>
    <w:p>
      <w:pPr>
        <w:pStyle w:val="ListBullet"/>
      </w:pPr>
      <w:r>
        <w:rPr>
          <w:b/>
        </w:rPr>
        <w:t>Customer-built integrations against our API.</w:t>
      </w:r>
      <w:r>
        <w:t xml:space="preserve"> API doesn't ship to customers in v1.</w:t>
      </w:r>
    </w:p>
    <w:p>
      <w:pPr>
        <w:pStyle w:val="Heading3"/>
      </w:pPr>
      <w:r>
        <w:rPr>
          <w:color w:val="0EA5E9"/>
        </w:rPr>
        <w:t>Decision 003: Workspace-Based Pricing, Not Per-Seat [decision-003-workspace-pricing-not-seat-based]</w:t>
      </w:r>
    </w:p>
    <w:p>
      <w:pPr>
        <w:pStyle w:val="ListBullet"/>
      </w:pPr>
      <w:r>
        <w:rPr>
          <w:b/>
        </w:rPr>
        <w:t>Per-seat pricing.</w:t>
      </w:r>
      <w:r>
        <w:t xml:space="preserve"> Not in v1 or v2.</w:t>
      </w:r>
    </w:p>
    <w:p>
      <w:pPr>
        <w:pStyle w:val="ListBullet"/>
      </w:pPr>
      <w:r>
        <w:rPr>
          <w:b/>
        </w:rPr>
        <w:t>Per-active-user pricing.</w:t>
      </w:r>
      <w:r>
        <w:t xml:space="preserve"> Not in v1 or v2.</w:t>
      </w:r>
    </w:p>
    <w:p>
      <w:pPr>
        <w:pStyle w:val="ListBullet"/>
      </w:pPr>
      <w:r>
        <w:rPr>
          <w:b/>
        </w:rPr>
        <w:t>Unlimited-developer tier.</w:t>
      </w:r>
      <w:r>
        <w:t xml:space="preserve"> No tier above 250 developers in v1; that is the natural top of our ICP band.</w:t>
      </w:r>
    </w:p>
    <w:p>
      <w:pPr>
        <w:pStyle w:val="ListBullet"/>
      </w:pPr>
      <w:r>
        <w:rPr>
          <w:b/>
        </w:rPr>
        <w:t>Custom-priced enterprise contracts.</w:t>
      </w:r>
      <w:r>
        <w:t xml:space="preserve"> Customers above 250 developers are out of ICP. We say no.</w:t>
      </w:r>
    </w:p>
    <w:p>
      <w:pPr>
        <w:pStyle w:val="Heading2"/>
      </w:pPr>
      <w:r>
        <w:rPr>
          <w:color w:val="7C3AED"/>
        </w:rPr>
        <w:t>9. Sources</w:t>
      </w:r>
    </w:p>
    <w:p>
      <w:r>
        <w:t xml:space="preserve">A bibliography of every source node in this vault, labeled by </w:t>
      </w:r>
      <w:r>
        <w:rPr>
          <w:rFonts w:ascii="Courier New" w:hAnsi="Courier New"/>
        </w:rPr>
        <w:t>source_kind</w:t>
      </w:r>
      <w:r>
        <w:t>. Citations elsewhere in this document point at the node ids listed here.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7C3AED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  <w:color w:val="7C3AED"/>
              </w:rPr>
              <w:t>Kind</w:t>
            </w:r>
          </w:p>
        </w:tc>
        <w:tc>
          <w:tcPr>
            <w:tcW w:type="dxa" w:w="2880"/>
          </w:tcPr>
          <w:p>
            <w:r>
              <w:rPr>
                <w:b/>
                <w:color w:val="7C3AED"/>
              </w:rPr>
              <w:t>Title</w:t>
            </w:r>
          </w:p>
        </w:tc>
      </w:tr>
      <w:tr>
        <w:tc>
          <w:tcPr>
            <w:tcW w:type="dxa" w:w="2880"/>
          </w:tcPr>
          <w:p>
            <w:r>
              <w:t>[source-citation-accelerate-book]</w:t>
            </w:r>
          </w:p>
        </w:tc>
        <w:tc>
          <w:tcPr>
            <w:tcW w:type="dxa" w:w="2880"/>
          </w:tcPr>
          <w:p>
            <w:r>
              <w:t>citation</w:t>
            </w:r>
          </w:p>
        </w:tc>
        <w:tc>
          <w:tcPr>
            <w:tcW w:type="dxa" w:w="2880"/>
          </w:tcPr>
          <w:p>
            <w:r>
              <w:t>Citation: Accelerate (Forsgren, Humble, Kim)</w:t>
            </w:r>
          </w:p>
        </w:tc>
      </w:tr>
      <w:tr>
        <w:tc>
          <w:tcPr>
            <w:tcW w:type="dxa" w:w="2880"/>
          </w:tcPr>
          <w:p>
            <w:r>
              <w:t>[source-customer-interview-2026-03-vpe-northgate]</w:t>
            </w:r>
          </w:p>
        </w:tc>
        <w:tc>
          <w:tcPr>
            <w:tcW w:type="dxa" w:w="2880"/>
          </w:tcPr>
          <w:p>
            <w:r>
              <w:t>customer-interview</w:t>
            </w:r>
          </w:p>
        </w:tc>
        <w:tc>
          <w:tcPr>
            <w:tcW w:type="dxa" w:w="2880"/>
          </w:tcPr>
          <w:p>
            <w:r>
              <w:t>Customer Interview: VPE at Northgate (2026-03-11)</w:t>
            </w:r>
          </w:p>
        </w:tc>
      </w:tr>
      <w:tr>
        <w:tc>
          <w:tcPr>
            <w:tcW w:type="dxa" w:w="2880"/>
          </w:tcPr>
          <w:p>
            <w:r>
              <w:t>[source-domain-expertise-12-years-eng-management]</w:t>
            </w:r>
          </w:p>
        </w:tc>
        <w:tc>
          <w:tcPr>
            <w:tcW w:type="dxa" w:w="2880"/>
          </w:tcPr>
          <w:p>
            <w:r>
              <w:t>domain-expertise</w:t>
            </w:r>
          </w:p>
        </w:tc>
        <w:tc>
          <w:tcPr>
            <w:tcW w:type="dxa" w:w="2880"/>
          </w:tcPr>
          <w:p>
            <w:r>
              <w:t>Domain Expertise: 12 Years of Engineering Management (Founder)</w:t>
            </w:r>
          </w:p>
        </w:tc>
      </w:tr>
      <w:tr>
        <w:tc>
          <w:tcPr>
            <w:tcW w:type="dxa" w:w="2880"/>
          </w:tcPr>
          <w:p>
            <w:r>
              <w:t>[source-internal-data-q1-2026-trial-cohort]</w:t>
            </w:r>
          </w:p>
        </w:tc>
        <w:tc>
          <w:tcPr>
            <w:tcW w:type="dxa" w:w="2880"/>
          </w:tcPr>
          <w:p>
            <w:r>
              <w:t>internal-data</w:t>
            </w:r>
          </w:p>
        </w:tc>
        <w:tc>
          <w:tcPr>
            <w:tcW w:type="dxa" w:w="2880"/>
          </w:tcPr>
          <w:p>
            <w:r>
              <w:t>Internal Data: Q1 2026 Trial Cohort</w:t>
            </w:r>
          </w:p>
        </w:tc>
      </w:tr>
      <w:tr>
        <w:tc>
          <w:tcPr>
            <w:tcW w:type="dxa" w:w="2880"/>
          </w:tcPr>
          <w:p>
            <w:r>
              <w:t>[source-market-data-dora-2025]</w:t>
            </w:r>
          </w:p>
        </w:tc>
        <w:tc>
          <w:tcPr>
            <w:tcW w:type="dxa" w:w="2880"/>
          </w:tcPr>
          <w:p>
            <w:r>
              <w:t>market-data</w:t>
            </w:r>
          </w:p>
        </w:tc>
        <w:tc>
          <w:tcPr>
            <w:tcW w:type="dxa" w:w="2880"/>
          </w:tcPr>
          <w:p>
            <w:r>
              <w:t>Market Data: Accelerate State of DevOps Report 2025 (fictional)</w:t>
            </w:r>
          </w:p>
        </w:tc>
      </w:tr>
      <w:tr>
        <w:tc>
          <w:tcPr>
            <w:tcW w:type="dxa" w:w="2880"/>
          </w:tcPr>
          <w:p>
            <w:r>
              <w:t>[source-press-release-flightpath-2026-q1-series-b]</w:t>
            </w:r>
          </w:p>
        </w:tc>
        <w:tc>
          <w:tcPr>
            <w:tcW w:type="dxa" w:w="2880"/>
          </w:tcPr>
          <w:p>
            <w:r>
              <w:t>press-release</w:t>
            </w:r>
          </w:p>
        </w:tc>
        <w:tc>
          <w:tcPr>
            <w:tcW w:type="dxa" w:w="2880"/>
          </w:tcPr>
          <w:p>
            <w:r>
              <w:t>Press Release: FlightPath Closes $40M Series B (2026-Q1)</w:t>
            </w:r>
          </w:p>
        </w:tc>
      </w:tr>
      <w:tr>
        <w:tc>
          <w:tcPr>
            <w:tcW w:type="dxa" w:w="2880"/>
          </w:tcPr>
          <w:p>
            <w:r>
              <w:t>[source-strategic-thesis-team-level-metrics]</w:t>
            </w:r>
          </w:p>
        </w:tc>
        <w:tc>
          <w:tcPr>
            <w:tcW w:type="dxa" w:w="2880"/>
          </w:tcPr>
          <w:p>
            <w:r>
              <w:t>strategic-thesis</w:t>
            </w:r>
          </w:p>
        </w:tc>
        <w:tc>
          <w:tcPr>
            <w:tcW w:type="dxa" w:w="2880"/>
          </w:tcPr>
          <w:p>
            <w:r>
              <w:t>Strategic Thesis: Team-Level Metrics Over Individual-Contributor Metrics</w:t>
            </w:r>
          </w:p>
        </w:tc>
      </w:tr>
      <w:tr>
        <w:tc>
          <w:tcPr>
            <w:tcW w:type="dxa" w:w="2880"/>
          </w:tcPr>
          <w:p>
            <w:r>
              <w:t>[source-vision-loftwing-2026]</w:t>
            </w:r>
          </w:p>
        </w:tc>
        <w:tc>
          <w:tcPr>
            <w:tcW w:type="dxa" w:w="2880"/>
          </w:tcPr>
          <w:p>
            <w:r>
              <w:t>founder-vision</w:t>
            </w:r>
          </w:p>
        </w:tc>
        <w:tc>
          <w:tcPr>
            <w:tcW w:type="dxa" w:w="2880"/>
          </w:tcPr>
          <w:p>
            <w:r>
              <w:t>Founder Vision: Engineering Velocity is a Board-Level Conversation (Loftwing, 2026)</w:t>
            </w:r>
          </w:p>
        </w:tc>
      </w:tr>
      <w:tr>
        <w:tc>
          <w:tcPr>
            <w:tcW w:type="dxa" w:w="2880"/>
          </w:tcPr>
          <w:p>
            <w:r>
              <w:t>[source-web-snapshot-flightpath-pricing-2026-04-15]</w:t>
            </w:r>
          </w:p>
        </w:tc>
        <w:tc>
          <w:tcPr>
            <w:tcW w:type="dxa" w:w="2880"/>
          </w:tcPr>
          <w:p>
            <w:r>
              <w:t>web-snapshot</w:t>
            </w:r>
          </w:p>
        </w:tc>
        <w:tc>
          <w:tcPr>
            <w:tcW w:type="dxa" w:w="2880"/>
          </w:tcPr>
          <w:p>
            <w:r>
              <w:t>Web Snapshot: FlightPath Pricing Page (2026-04-15)</w:t>
            </w:r>
          </w:p>
        </w:tc>
      </w:tr>
    </w:tbl>
    <w:p>
      <w:pPr>
        <w:jc w:val="center"/>
      </w:pPr>
      <w:r>
        <w:rPr>
          <w:color w:val="9CA3AF"/>
        </w:rPr>
        <w:t>────────────────────────────────────────</w:t>
      </w:r>
    </w:p>
    <w:p>
      <w:r>
        <w:t xml:space="preserve">_company-brain v0.5.0 · MRD generated 2026-05-25 from vault at </w:t>
      </w:r>
      <w:r>
        <w:rPr>
          <w:rFonts w:ascii="Courier New" w:hAnsi="Courier New"/>
        </w:rPr>
        <w:t>/Volumes/Casima/claudeCode/CompanyWiki/company-brain/examples/saas-fictional</w:t>
      </w:r>
      <w:r>
        <w:t>._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ystem-ui" w:hAnsi="system-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