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pPr>
      <w:r>
        <w:rPr>
          <w:rtl w:val="0"/>
          <w:lang w:val="ja-JP" w:eastAsia="ja-JP"/>
        </w:rPr>
        <w:t>NBC</w:t>
      </w:r>
      <w:r>
        <w:rPr>
          <w:rtl w:val="0"/>
          <w:lang w:val="ja-JP" w:eastAsia="ja-JP"/>
        </w:rPr>
        <w:t>本戦プレゼン 台本シード</w:t>
      </w:r>
    </w:p>
    <w:p>
      <w:pPr>
        <w:pStyle w:val="本文"/>
        <w:keepNext w:val="1"/>
        <w:keepLines w:val="1"/>
        <w:spacing w:before="480" w:line="276" w:lineRule="auto"/>
        <w:rPr>
          <w:rFonts w:ascii="Noto Sans CJK JP" w:cs="Noto Sans CJK JP" w:hAnsi="Noto Sans CJK JP" w:eastAsia="Noto Sans CJK JP"/>
          <w:b w:val="1"/>
          <w:bCs w:val="1"/>
          <w:caps w:val="0"/>
          <w:smallCaps w:val="0"/>
          <w:strike w:val="0"/>
          <w:dstrike w:val="0"/>
          <w:outline w:val="0"/>
          <w:color w:val="365f91"/>
          <w:sz w:val="32"/>
          <w:szCs w:val="32"/>
          <w:u w:val="none" w:color="365f91"/>
          <w:shd w:val="nil" w:color="auto" w:fill="auto"/>
          <w:vertAlign w:val="baseline"/>
          <w14:textFill>
            <w14:solidFill>
              <w14:srgbClr w14:val="365F91"/>
            </w14:solidFill>
          </w14:textFill>
        </w:rPr>
      </w:pPr>
      <w:r>
        <w:rPr>
          <w:rFonts w:ascii="Noto Sans CJK JP" w:cs="Noto Sans CJK JP" w:hAnsi="Noto Sans CJK JP" w:eastAsia="Noto Sans CJK JP"/>
          <w:b w:val="1"/>
          <w:bCs w:val="1"/>
          <w:caps w:val="0"/>
          <w:smallCaps w:val="0"/>
          <w:strike w:val="0"/>
          <w:dstrike w:val="0"/>
          <w:outline w:val="0"/>
          <w:color w:val="365f91"/>
          <w:sz w:val="32"/>
          <w:szCs w:val="32"/>
          <w:u w:val="none" w:color="365f91"/>
          <w:shd w:val="nil" w:color="auto" w:fill="auto"/>
          <w:vertAlign w:val="baseline"/>
          <w:rtl w:val="0"/>
          <w:lang w:val="ja-JP" w:eastAsia="ja-JP"/>
          <w14:textFill>
            <w14:solidFill>
              <w14:srgbClr w14:val="365F91"/>
            </w14:solidFill>
          </w14:textFill>
        </w:rPr>
        <w:t>・自己紹介・お茶は美味しい・知ると奥深く面白い。</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日本茶インストラクター協会北海道支部より参りました、根本拓と申します。</w:t>
      </w:r>
    </w:p>
    <w:p>
      <w:pPr>
        <w:pStyle w:val="本文"/>
        <w:spacing w:after="140" w:line="324" w:lineRule="auto"/>
        <w:rPr>
          <w:rFonts w:ascii="Noto Sans CJK JP" w:cs="Noto Sans CJK JP" w:hAnsi="Noto Sans CJK JP" w:eastAsia="Noto Sans CJK JP"/>
          <w:sz w:val="22"/>
          <w:szCs w:val="22"/>
        </w:rPr>
      </w:pPr>
      <w:r>
        <w:rPr>
          <w:rFonts w:ascii="Noto Sans CJK JP" w:cs="Noto Sans CJK JP" w:hAnsi="Noto Sans CJK JP" w:eastAsia="Noto Sans CJK JP"/>
          <w:sz w:val="22"/>
          <w:szCs w:val="22"/>
          <w:rtl w:val="0"/>
          <w:lang w:val="ja-JP" w:eastAsia="ja-JP"/>
        </w:rPr>
        <w:t>まず初めに、論語にこんな言葉があります。</w:t>
      </w:r>
    </w:p>
    <w:p>
      <w:pPr>
        <w:pStyle w:val="本文"/>
        <w:spacing w:after="140" w:line="324" w:lineRule="auto"/>
        <w:rPr>
          <w:rFonts w:ascii="Noto Sans CJK JP" w:cs="Noto Sans CJK JP" w:hAnsi="Noto Sans CJK JP" w:eastAsia="Noto Sans CJK JP"/>
          <w:sz w:val="22"/>
          <w:szCs w:val="22"/>
        </w:rPr>
      </w:pPr>
      <w:r>
        <w:rPr>
          <w:rFonts w:ascii="Noto Sans CJK JP" w:cs="Noto Sans CJK JP" w:hAnsi="Noto Sans CJK JP" w:eastAsia="Noto Sans CJK JP"/>
          <w:sz w:val="22"/>
          <w:szCs w:val="22"/>
          <w:rtl w:val="0"/>
          <w:lang w:val="ja-JP" w:eastAsia="ja-JP"/>
        </w:rPr>
        <w:t>「子曰、知之者不如好之者、好之者不如楽之者」</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sz w:val="22"/>
          <w:szCs w:val="22"/>
          <w:rtl w:val="0"/>
          <w:lang w:val="ja-JP" w:eastAsia="ja-JP"/>
        </w:rPr>
        <w:t>ただ美味しくお茶を飲むだけでも、日本茶との十分な付き合い方だと思います。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しかし、その一杯の背景に少し興味を持つと、産地や品種、栽培や製茶技術、さらに歴史や文化があって、科学もある。</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私は、この入口の広さと、その先にどこまでも広がっていく奥深さの両方が、日本茶の面白いところだと思っています。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sz w:val="22"/>
          <w:szCs w:val="22"/>
          <w:rtl w:val="0"/>
          <w:lang w:val="ja-JP" w:eastAsia="ja-JP"/>
        </w:rPr>
        <w:t>そうして知ったことを</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手掛かりに、考えたり、試したりしながらお茶</w:t>
      </w:r>
      <w:r>
        <w:rPr>
          <w:rFonts w:ascii="Noto Sans CJK JP" w:cs="Noto Sans CJK JP" w:hAnsi="Noto Sans CJK JP" w:eastAsia="Noto Sans CJK JP"/>
          <w:sz w:val="22"/>
          <w:szCs w:val="22"/>
          <w:rtl w:val="0"/>
          <w:lang w:val="ja-JP" w:eastAsia="ja-JP"/>
        </w:rPr>
        <w:t>を味わうことが、</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日本茶を「楽しむ」ということの一つなのではないかと思っています。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sz w:val="22"/>
          <w:szCs w:val="22"/>
          <w:rtl w:val="0"/>
          <w:lang w:val="ja-JP" w:eastAsia="ja-JP"/>
        </w:rPr>
        <w:t>そして私自身が、そんな楽しみ方に惹かれるきっかけとなったものの一つが、「合組」でした。</w:t>
      </w:r>
    </w:p>
    <w:p>
      <w:pPr>
        <w:pStyle w:val="本文"/>
        <w:keepNext w:val="1"/>
        <w:keepLines w:val="1"/>
        <w:spacing w:before="480" w:line="276" w:lineRule="auto"/>
        <w:rPr>
          <w:rFonts w:ascii="Noto Sans CJK JP" w:cs="Noto Sans CJK JP" w:hAnsi="Noto Sans CJK JP" w:eastAsia="Noto Sans CJK JP"/>
          <w:b w:val="1"/>
          <w:bCs w:val="1"/>
          <w:caps w:val="0"/>
          <w:smallCaps w:val="0"/>
          <w:strike w:val="0"/>
          <w:dstrike w:val="0"/>
          <w:outline w:val="0"/>
          <w:color w:val="365f91"/>
          <w:sz w:val="32"/>
          <w:szCs w:val="32"/>
          <w:u w:val="none" w:color="365f91"/>
          <w:shd w:val="nil" w:color="auto" w:fill="auto"/>
          <w:vertAlign w:val="baseline"/>
          <w14:textFill>
            <w14:solidFill>
              <w14:srgbClr w14:val="365F91"/>
            </w14:solidFill>
          </w14:textFill>
        </w:rPr>
      </w:pPr>
      <w:r>
        <w:rPr>
          <w:rFonts w:ascii="Noto Sans CJK JP" w:cs="Noto Sans CJK JP" w:hAnsi="Noto Sans CJK JP" w:eastAsia="Noto Sans CJK JP"/>
          <w:b w:val="1"/>
          <w:bCs w:val="1"/>
          <w:caps w:val="0"/>
          <w:smallCaps w:val="0"/>
          <w:strike w:val="0"/>
          <w:dstrike w:val="0"/>
          <w:outline w:val="0"/>
          <w:color w:val="365f91"/>
          <w:sz w:val="32"/>
          <w:szCs w:val="32"/>
          <w:u w:val="none" w:color="365f91"/>
          <w:shd w:val="nil" w:color="auto" w:fill="auto"/>
          <w:vertAlign w:val="baseline"/>
          <w:rtl w:val="0"/>
          <w:lang w:val="ja-JP" w:eastAsia="ja-JP"/>
          <w14:textFill>
            <w14:solidFill>
              <w14:srgbClr w14:val="365F91"/>
            </w14:solidFill>
          </w14:textFill>
        </w:rPr>
        <w:t>・自分自身が経験した「拓朗」</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今日淹れるのは、しもきた茶苑大山さまの「茶師十段之茶 拓朗」です。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私がこのお茶と出会ったのは</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14:textFill>
            <w14:solidFill>
              <w14:srgbClr w14:val="000000"/>
            </w14:solidFill>
          </w14:textFill>
        </w:rPr>
        <w:t>2019</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年頃のことで、当時は煎茶の違いなどよくわかっていませんでした。お茶の産地ではない東京の下北沢で、「茶師」って一体なんのことなんだろうと疑問に思って、調べた思い出があります。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原料となる荒茶を仕入れて、複数のお茶の個性を見極め、火入れ</w:t>
      </w:r>
      <w:r>
        <w:rPr>
          <w:rFonts w:ascii="Noto Sans CJK JP" w:cs="Noto Sans CJK JP" w:hAnsi="Noto Sans CJK JP" w:eastAsia="Noto Sans CJK JP"/>
          <w:sz w:val="22"/>
          <w:szCs w:val="22"/>
          <w:rtl w:val="0"/>
          <w:lang w:val="ja-JP" w:eastAsia="ja-JP"/>
        </w:rPr>
        <w:t>や合組（ブレンド）</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を行い、一つの商品として仕上げる技術がある、ということをそこで初めて知りました。</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伺ったところ、静岡県川根本町のお茶をベースに、鹿児島県産のお茶を組み合わせているそうです。</w:t>
      </w:r>
    </w:p>
    <w:p>
      <w:pPr>
        <w:pStyle w:val="本文"/>
        <w:spacing w:after="140" w:line="324" w:lineRule="auto"/>
        <w:rPr>
          <w:rFonts w:ascii="Noto Sans CJK JP" w:cs="Noto Sans CJK JP" w:hAnsi="Noto Sans CJK JP" w:eastAsia="Noto Sans CJK JP"/>
          <w:sz w:val="22"/>
          <w:szCs w:val="22"/>
        </w:rPr>
      </w:pPr>
      <w:r>
        <w:rPr>
          <w:rFonts w:ascii="Noto Sans CJK JP" w:cs="Noto Sans CJK JP" w:hAnsi="Noto Sans CJK JP" w:eastAsia="Noto Sans CJK JP"/>
          <w:sz w:val="22"/>
          <w:szCs w:val="22"/>
          <w:rtl w:val="0"/>
          <w:lang w:val="ja-JP" w:eastAsia="ja-JP"/>
        </w:rPr>
        <w:t>私にとっては、熱湯で淹れても低温で淹れても美味しく感じられ</w:t>
      </w:r>
      <w:r>
        <w:rPr>
          <w:rFonts w:ascii="Noto Sans CJK JP" w:cs="Noto Sans CJK JP" w:hAnsi="Noto Sans CJK JP" w:eastAsia="Noto Sans CJK JP"/>
          <w:sz w:val="22"/>
          <w:szCs w:val="22"/>
          <w:rtl w:val="0"/>
          <w:lang w:val="ja-JP" w:eastAsia="ja-JP"/>
        </w:rPr>
        <w:t>、</w:t>
      </w:r>
      <w:r>
        <w:rPr>
          <w:rFonts w:ascii="Noto Sans CJK JP" w:cs="Noto Sans CJK JP" w:hAnsi="Noto Sans CJK JP" w:eastAsia="Noto Sans CJK JP"/>
          <w:sz w:val="22"/>
          <w:szCs w:val="22"/>
          <w:rtl w:val="0"/>
          <w:lang w:val="ja-JP" w:eastAsia="ja-JP"/>
        </w:rPr>
        <w:t>「</w:t>
      </w:r>
      <w:r>
        <w:rPr>
          <w:rFonts w:ascii="Noto Sans CJK JP" w:cs="Noto Sans CJK JP" w:hAnsi="Noto Sans CJK JP" w:eastAsia="Noto Sans CJK JP"/>
          <w:sz w:val="22"/>
          <w:szCs w:val="22"/>
          <w:rtl w:val="0"/>
          <w:lang w:val="ja-JP" w:eastAsia="ja-JP"/>
        </w:rPr>
        <w:t>これは</w:t>
      </w:r>
      <w:r>
        <w:rPr>
          <w:rFonts w:ascii="Noto Sans CJK JP" w:cs="Noto Sans CJK JP" w:hAnsi="Noto Sans CJK JP" w:eastAsia="Noto Sans CJK JP"/>
          <w:sz w:val="22"/>
          <w:szCs w:val="22"/>
          <w:rtl w:val="0"/>
          <w:lang w:val="ja-JP" w:eastAsia="ja-JP"/>
        </w:rPr>
        <w:t>設計された飲み物だ！」ということに衝撃を受けた、思い出のあるお茶です。</w:t>
      </w:r>
    </w:p>
    <w:p>
      <w:pPr>
        <w:pStyle w:val="本文"/>
        <w:keepNext w:val="1"/>
        <w:keepLines w:val="1"/>
        <w:spacing w:before="480" w:line="276" w:lineRule="auto"/>
        <w:rPr>
          <w:rFonts w:ascii="Noto Sans CJK JP" w:cs="Noto Sans CJK JP" w:hAnsi="Noto Sans CJK JP" w:eastAsia="Noto Sans CJK JP"/>
          <w:b w:val="1"/>
          <w:bCs w:val="1"/>
          <w:caps w:val="0"/>
          <w:smallCaps w:val="0"/>
          <w:strike w:val="0"/>
          <w:dstrike w:val="0"/>
          <w:outline w:val="0"/>
          <w:color w:val="365f91"/>
          <w:sz w:val="32"/>
          <w:szCs w:val="32"/>
          <w:u w:val="none" w:color="365f91"/>
          <w:shd w:val="nil" w:color="auto" w:fill="auto"/>
          <w:vertAlign w:val="baseline"/>
          <w14:textFill>
            <w14:solidFill>
              <w14:srgbClr w14:val="365F91"/>
            </w14:solidFill>
          </w14:textFill>
        </w:rPr>
      </w:pPr>
      <w:r>
        <w:rPr>
          <w:rFonts w:ascii="Noto Sans CJK JP" w:cs="Noto Sans CJK JP" w:hAnsi="Noto Sans CJK JP" w:eastAsia="Noto Sans CJK JP"/>
          <w:b w:val="1"/>
          <w:bCs w:val="1"/>
          <w:caps w:val="0"/>
          <w:smallCaps w:val="0"/>
          <w:strike w:val="0"/>
          <w:dstrike w:val="0"/>
          <w:outline w:val="0"/>
          <w:color w:val="365f91"/>
          <w:sz w:val="32"/>
          <w:szCs w:val="32"/>
          <w:u w:val="none" w:color="365f91"/>
          <w:shd w:val="nil" w:color="auto" w:fill="auto"/>
          <w:vertAlign w:val="baseline"/>
          <w:rtl w:val="0"/>
          <w:lang w:val="it-IT"/>
          <w14:textFill>
            <w14:solidFill>
              <w14:srgbClr w14:val="365F91"/>
            </w14:solidFill>
          </w14:textFill>
        </w:rPr>
        <w:t xml:space="preserve">C. </w:t>
      </w:r>
      <w:r>
        <w:rPr>
          <w:rFonts w:ascii="Noto Sans CJK JP" w:cs="Noto Sans CJK JP" w:hAnsi="Noto Sans CJK JP" w:eastAsia="Noto Sans CJK JP"/>
          <w:b w:val="1"/>
          <w:bCs w:val="1"/>
          <w:caps w:val="0"/>
          <w:smallCaps w:val="0"/>
          <w:strike w:val="0"/>
          <w:dstrike w:val="0"/>
          <w:outline w:val="0"/>
          <w:color w:val="365f91"/>
          <w:sz w:val="32"/>
          <w:szCs w:val="32"/>
          <w:u w:val="none" w:color="365f91"/>
          <w:shd w:val="nil" w:color="auto" w:fill="auto"/>
          <w:vertAlign w:val="baseline"/>
          <w:rtl w:val="0"/>
          <w:lang w:val="ja-JP" w:eastAsia="ja-JP"/>
          <w14:textFill>
            <w14:solidFill>
              <w14:srgbClr w14:val="365F91"/>
            </w14:solidFill>
          </w14:textFill>
        </w:rPr>
        <w:t>知識を「正解」ではなく、自分で考える材料にする</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茶師が考え尽くした設計があるのであれば、奇をてらわず普通に淹れ</w:t>
      </w:r>
      <w:r>
        <w:rPr>
          <w:rFonts w:ascii="Noto Sans CJK JP" w:cs="Noto Sans CJK JP" w:hAnsi="Noto Sans CJK JP" w:eastAsia="Noto Sans CJK JP"/>
          <w:sz w:val="22"/>
          <w:szCs w:val="22"/>
          <w:rtl w:val="0"/>
          <w:lang w:val="ja-JP" w:eastAsia="ja-JP"/>
        </w:rPr>
        <w:t>るのが</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筋だと思うのですが、</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あえて、「２種類のお茶が含まれて</w:t>
      </w:r>
      <w:r>
        <w:rPr>
          <w:rFonts w:ascii="Noto Sans CJK JP" w:cs="Noto Sans CJK JP" w:hAnsi="Noto Sans CJK JP" w:eastAsia="Noto Sans CJK JP"/>
          <w:sz w:val="22"/>
          <w:szCs w:val="22"/>
          <w:rtl w:val="0"/>
          <w:lang w:val="ja-JP" w:eastAsia="ja-JP"/>
        </w:rPr>
        <w:t>いる</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ことが分かるような１杯を作る」ことをテーマといたします。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もっというと、「淹れ手が狙いを持って</w:t>
      </w:r>
      <w:r>
        <w:rPr>
          <w:rFonts w:ascii="Noto Sans CJK JP" w:cs="Noto Sans CJK JP" w:hAnsi="Noto Sans CJK JP" w:eastAsia="Noto Sans CJK JP"/>
          <w:sz w:val="22"/>
          <w:szCs w:val="22"/>
          <w:rtl w:val="0"/>
          <w:lang w:val="ja-JP" w:eastAsia="ja-JP"/>
        </w:rPr>
        <w:t>、</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お茶を淹れることを楽しむ」そのプロセス自体も楽しんでみていただけたらと思います。</w:t>
      </w:r>
    </w:p>
    <w:p>
      <w:pPr>
        <w:pStyle w:val="本文"/>
        <w:keepNext w:val="1"/>
        <w:keepLines w:val="1"/>
        <w:spacing w:before="480" w:line="276" w:lineRule="auto"/>
        <w:rPr>
          <w:rFonts w:ascii="Noto Sans CJK JP" w:cs="Noto Sans CJK JP" w:hAnsi="Noto Sans CJK JP" w:eastAsia="Noto Sans CJK JP"/>
          <w:b w:val="1"/>
          <w:bCs w:val="1"/>
          <w:caps w:val="0"/>
          <w:smallCaps w:val="0"/>
          <w:strike w:val="0"/>
          <w:dstrike w:val="0"/>
          <w:outline w:val="0"/>
          <w:color w:val="365f91"/>
          <w:sz w:val="32"/>
          <w:szCs w:val="32"/>
          <w:u w:val="none" w:color="365f91"/>
          <w:shd w:val="nil" w:color="auto" w:fill="auto"/>
          <w:vertAlign w:val="baseline"/>
          <w14:textFill>
            <w14:solidFill>
              <w14:srgbClr w14:val="365F91"/>
            </w14:solidFill>
          </w14:textFill>
        </w:rPr>
      </w:pPr>
      <w:r>
        <w:rPr>
          <w:rFonts w:ascii="Noto Sans CJK JP" w:cs="Noto Sans CJK JP" w:hAnsi="Noto Sans CJK JP" w:eastAsia="Noto Sans CJK JP"/>
          <w:b w:val="1"/>
          <w:bCs w:val="1"/>
          <w:caps w:val="0"/>
          <w:smallCaps w:val="0"/>
          <w:strike w:val="0"/>
          <w:dstrike w:val="0"/>
          <w:outline w:val="0"/>
          <w:color w:val="365f91"/>
          <w:sz w:val="32"/>
          <w:szCs w:val="32"/>
          <w:u w:val="none" w:color="365f91"/>
          <w:shd w:val="nil" w:color="auto" w:fill="auto"/>
          <w:vertAlign w:val="baseline"/>
          <w:rtl w:val="0"/>
          <w14:textFill>
            <w14:solidFill>
              <w14:srgbClr w14:val="365F91"/>
            </w14:solidFill>
          </w14:textFill>
        </w:rPr>
        <w:t xml:space="preserve">D. </w:t>
      </w:r>
      <w:r>
        <w:rPr>
          <w:rFonts w:ascii="Noto Sans CJK JP" w:cs="Noto Sans CJK JP" w:hAnsi="Noto Sans CJK JP" w:eastAsia="Noto Sans CJK JP"/>
          <w:b w:val="1"/>
          <w:bCs w:val="1"/>
          <w:caps w:val="0"/>
          <w:smallCaps w:val="0"/>
          <w:strike w:val="0"/>
          <w:dstrike w:val="0"/>
          <w:outline w:val="0"/>
          <w:color w:val="365f91"/>
          <w:sz w:val="32"/>
          <w:szCs w:val="32"/>
          <w:u w:val="none" w:color="365f91"/>
          <w:shd w:val="nil" w:color="auto" w:fill="auto"/>
          <w:vertAlign w:val="baseline"/>
          <w:rtl w:val="0"/>
          <w:lang w:val="ja-JP" w:eastAsia="ja-JP"/>
          <w14:textFill>
            <w14:solidFill>
              <w14:srgbClr w14:val="365F91"/>
            </w14:solidFill>
          </w14:textFill>
        </w:rPr>
        <w:t>だから今日は、一つ試してみる</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まず、淹れ手がコントロールできる変数は</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14:textFill>
            <w14:solidFill>
              <w14:srgbClr w14:val="000000"/>
            </w14:solidFill>
          </w14:textFill>
        </w:rPr>
        <w:t>4</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つあります。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お茶の葉の量、お湯の量、お湯の温度、そして浸出時間です。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まず、お湯の量は自ずと決まってまいります。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14:textFill>
            <w14:solidFill>
              <w14:srgbClr w14:val="000000"/>
            </w14:solidFill>
          </w14:textFill>
        </w:rPr>
        <w:t>1</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椀</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it-IT"/>
          <w14:textFill>
            <w14:solidFill>
              <w14:srgbClr w14:val="000000"/>
            </w14:solidFill>
          </w14:textFill>
        </w:rPr>
        <w:t>40ml</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程度としますので、合計で</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14:textFill>
            <w14:solidFill>
              <w14:srgbClr w14:val="000000"/>
            </w14:solidFill>
          </w14:textFill>
        </w:rPr>
        <w:t>200ml</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です。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次に、お茶の葉の量は、お湯の量に対して相対的に決まってまいります。適切な濃さとするため今回</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14:textFill>
            <w14:solidFill>
              <w14:srgbClr w14:val="000000"/>
            </w14:solidFill>
          </w14:textFill>
        </w:rPr>
        <w:t>7g</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としました。</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lang w:val="ja-JP" w:eastAsia="ja-JP"/>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次に、</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お湯の温度と浸出時間ですが、</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２種類の異なる温度のお湯を使用し、どの温度のお湯に何秒浸すか、というところも調節することにしました。</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lang w:val="ja-JP" w:eastAsia="ja-JP"/>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最初に</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14:textFill>
            <w14:solidFill>
              <w14:srgbClr w14:val="000000"/>
            </w14:solidFill>
          </w14:textFill>
        </w:rPr>
        <w:t>50</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まで冷ました</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お湯を</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it-IT"/>
          <w14:textFill>
            <w14:solidFill>
              <w14:srgbClr w14:val="000000"/>
            </w14:solidFill>
          </w14:textFill>
        </w:rPr>
        <w:t>30mL</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だけ入れて、</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14:textFill>
            <w14:solidFill>
              <w14:srgbClr w14:val="000000"/>
            </w14:solidFill>
          </w14:textFill>
        </w:rPr>
        <w:t>60</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14:textFill>
            <w14:solidFill>
              <w14:srgbClr w14:val="000000"/>
            </w14:solidFill>
          </w14:textFill>
        </w:rPr>
        <w:t>秒</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待ちます。そのあと</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14:textFill>
            <w14:solidFill>
              <w14:srgbClr w14:val="000000"/>
            </w14:solidFill>
          </w14:textFill>
        </w:rPr>
        <w:t>90</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の</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高温の</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お湯を加えて、短い時間で</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抽出していきます。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lang w:val="ja-JP" w:eastAsia="ja-JP"/>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それでは一煎目を淹れます。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まずお湯を茶碗に入れ、急須に入れたあと、湯冷しに注ぐ。茶葉を茶入から茶則に取り出し、茶入に蓋をする。葉を茶則から急須に入れる。茶則は茶入れに傾けて置く。急須を少し振って茶葉の並びを均等にする。湯冷しを手に持ち、少し揺らして手で温度を確かめてから、ゆっくり急須に注ぐ。そこからタイマーをスタートする。）</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lang w:val="ja-JP" w:eastAsia="ja-JP"/>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お茶の主要な味わいを構成する成分</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について、既存の研究では、次のような結果が得られており（グラフを見せながら）、今回の抽出を考えるにあたって参考にしています。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lang w:val="ja-JP" w:eastAsia="ja-JP"/>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テアニンのような旨味・甘み成分は低い温度でも溶出しやすいという性質があります。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lang w:val="ja-JP" w:eastAsia="ja-JP"/>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温度を上げていくに従って、テアニンの溶出量も増えますが、特に高温になるとカテキンやカフェインといった苦味、渋みの成分が短時間でも溶出しやすくなるため、味わいのバランスが変化してまいります。今回は、合組されている２種類のお茶が持つ良さを際立たせるため、味わいに影響する成分が溶出する性質の差を利用した淹れ方としました。</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lang w:val="ja-JP" w:eastAsia="ja-JP"/>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en-US" w:eastAsia="ja-JP"/>
          <w14:textFill>
            <w14:solidFill>
              <w14:srgbClr w14:val="000000"/>
            </w14:solidFill>
          </w14:textFill>
        </w:rPr>
        <w:t>これで</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en-US" w:eastAsia="ja-JP"/>
          <w14:textFill>
            <w14:solidFill>
              <w14:srgbClr w14:val="000000"/>
            </w14:solidFill>
          </w14:textFill>
        </w:rPr>
        <w:t>90</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のお湯を急須に注いでいく。この注ぎ初めまでの</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60</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秒</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、上記の内容を喋る。）</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lang w:val="ja-JP" w:eastAsia="ja-JP"/>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（すぐに</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廻し注ぎ</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をしていく。注ぎ終わったら、茶碗の糸底を拭いて茶托に並べる。）</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lang w:val="ja-JP" w:eastAsia="ja-JP"/>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（配膳してもらって、飲んでもらっている間に、説明をする。）</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lang w:val="ja-JP" w:eastAsia="ja-JP"/>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この「拓朗」は、静岡県川根本町の「山の香気」をもつお茶をベースに、鹿児島</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県産の</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「穏やかな甘み」のあるお茶を組み合わせていると伺っています。</w:t>
      </w:r>
    </w:p>
    <w:p>
      <w:pPr>
        <w:pStyle w:val="本文"/>
        <w:spacing w:after="140" w:line="324" w:lineRule="auto"/>
        <w:rPr>
          <w:rFonts w:ascii="Noto Sans CJK JP" w:cs="Noto Sans CJK JP" w:hAnsi="Noto Sans CJK JP" w:eastAsia="Noto Sans CJK JP"/>
          <w:sz w:val="22"/>
          <w:szCs w:val="22"/>
          <w:lang w:val="ja-JP" w:eastAsia="ja-JP"/>
        </w:rPr>
      </w:pPr>
      <w:r>
        <w:rPr>
          <w:rFonts w:ascii="Noto Sans CJK JP" w:cs="Noto Sans CJK JP" w:hAnsi="Noto Sans CJK JP" w:eastAsia="Noto Sans CJK JP"/>
          <w:sz w:val="22"/>
          <w:szCs w:val="22"/>
          <w:rtl w:val="0"/>
          <w:lang w:val="ja-JP" w:eastAsia="ja-JP"/>
        </w:rPr>
        <w:t>実際、私は若草のような爽やかな香りと煎茶らしい</w:t>
      </w:r>
      <w:r>
        <w:rPr>
          <w:rFonts w:ascii="Noto Sans CJK JP" w:cs="Noto Sans CJK JP" w:hAnsi="Noto Sans CJK JP" w:eastAsia="Noto Sans CJK JP"/>
          <w:sz w:val="22"/>
          <w:szCs w:val="22"/>
          <w:rtl w:val="0"/>
          <w:lang w:val="ja-JP" w:eastAsia="ja-JP"/>
        </w:rPr>
        <w:t>キレのある</w:t>
      </w:r>
      <w:r>
        <w:rPr>
          <w:rFonts w:ascii="Noto Sans CJK JP" w:cs="Noto Sans CJK JP" w:hAnsi="Noto Sans CJK JP" w:eastAsia="Noto Sans CJK JP"/>
          <w:sz w:val="22"/>
          <w:szCs w:val="22"/>
          <w:rtl w:val="0"/>
          <w:lang w:val="ja-JP" w:eastAsia="ja-JP"/>
        </w:rPr>
        <w:t>渋み、それとは別に瓜のような瑞々しい甘みと香りを感じとりました。</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lang w:val="ja-JP" w:eastAsia="ja-JP"/>
          <w14:textFill>
            <w14:solidFill>
              <w14:srgbClr w14:val="000000"/>
            </w14:solidFill>
          </w14:textFill>
        </w:rPr>
      </w:pPr>
      <w:r>
        <w:rPr>
          <w:rFonts w:ascii="Noto Sans CJK JP" w:cs="Noto Sans CJK JP" w:hAnsi="Noto Sans CJK JP" w:eastAsia="Noto Sans CJK JP"/>
          <w:sz w:val="22"/>
          <w:szCs w:val="22"/>
          <w:rtl w:val="0"/>
          <w:lang w:val="ja-JP" w:eastAsia="ja-JP"/>
        </w:rPr>
        <w:t>これらが同居した１杯であるということを強調するために、</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まず低温で浸出させてから、</w:t>
      </w:r>
      <w:r>
        <w:rPr>
          <w:rFonts w:ascii="Noto Sans CJK JP" w:cs="Noto Sans CJK JP" w:hAnsi="Noto Sans CJK JP" w:eastAsia="Noto Sans CJK JP"/>
          <w:sz w:val="22"/>
          <w:szCs w:val="22"/>
          <w:rtl w:val="0"/>
          <w:lang w:val="ja-JP" w:eastAsia="ja-JP"/>
        </w:rPr>
        <w:t>高温の湯を当てることで渋味と香りを立ち上げています。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lang w:val="ja-JP" w:eastAsia="ja-JP"/>
          <w14:textFill>
            <w14:solidFill>
              <w14:srgbClr w14:val="000000"/>
            </w14:solidFill>
          </w14:textFill>
        </w:rPr>
      </w:pP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lang w:val="ja-JP" w:eastAsia="ja-JP"/>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二煎目ですが、</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en-US" w:eastAsia="ja-JP"/>
          <w14:textFill>
            <w14:solidFill>
              <w14:srgbClr w14:val="000000"/>
            </w14:solidFill>
          </w14:textFill>
        </w:rPr>
        <w:t>高温の</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en-US" w:eastAsia="ja-JP"/>
          <w14:textFill>
            <w14:solidFill>
              <w14:srgbClr w14:val="000000"/>
            </w14:solidFill>
          </w14:textFill>
        </w:rPr>
        <w:t>90</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のお湯を直接当てて、時間をかけずに</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10</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秒程度で淹れます。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lang w:val="ja-JP" w:eastAsia="ja-JP"/>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（これはもうここで淹れちゃう）</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すでに吸水済みのお茶の葉に高温の湯を当てる</w:t>
      </w:r>
      <w:r>
        <w:rPr>
          <w:rFonts w:ascii="Noto Sans CJK JP" w:cs="Noto Sans CJK JP" w:hAnsi="Noto Sans CJK JP" w:eastAsia="Noto Sans CJK JP"/>
          <w:sz w:val="22"/>
          <w:szCs w:val="22"/>
          <w:rtl w:val="0"/>
          <w:lang w:val="ja-JP" w:eastAsia="ja-JP"/>
        </w:rPr>
        <w:t>二煎目の場合は、一煎目よりも成分が溶出しやすいという研究結果があります。今回は爽快でさっぱりとした二煎目を味わっていただきたいと思います。</w:t>
      </w:r>
    </w:p>
    <w:p>
      <w:pPr>
        <w:pStyle w:val="本文"/>
        <w:keepNext w:val="1"/>
        <w:keepLines w:val="1"/>
        <w:spacing w:before="480" w:line="276" w:lineRule="auto"/>
        <w:rPr>
          <w:rFonts w:ascii="Noto Sans CJK JP" w:cs="Noto Sans CJK JP" w:hAnsi="Noto Sans CJK JP" w:eastAsia="Noto Sans CJK JP"/>
          <w:b w:val="1"/>
          <w:bCs w:val="1"/>
          <w:caps w:val="0"/>
          <w:smallCaps w:val="0"/>
          <w:strike w:val="0"/>
          <w:dstrike w:val="0"/>
          <w:outline w:val="0"/>
          <w:color w:val="365f91"/>
          <w:sz w:val="32"/>
          <w:szCs w:val="32"/>
          <w:u w:val="none" w:color="365f91"/>
          <w:shd w:val="nil" w:color="auto" w:fill="auto"/>
          <w:vertAlign w:val="baseline"/>
          <w14:textFill>
            <w14:solidFill>
              <w14:srgbClr w14:val="365F91"/>
            </w14:solidFill>
          </w14:textFill>
        </w:rPr>
      </w:pPr>
      <w:r>
        <w:rPr>
          <w:rFonts w:ascii="Noto Sans CJK JP" w:cs="Noto Sans CJK JP" w:hAnsi="Noto Sans CJK JP" w:eastAsia="Noto Sans CJK JP"/>
          <w:b w:val="1"/>
          <w:bCs w:val="1"/>
          <w:caps w:val="0"/>
          <w:smallCaps w:val="0"/>
          <w:strike w:val="0"/>
          <w:dstrike w:val="0"/>
          <w:outline w:val="0"/>
          <w:color w:val="365f91"/>
          <w:sz w:val="32"/>
          <w:szCs w:val="32"/>
          <w:u w:val="none" w:color="365f91"/>
          <w:shd w:val="nil" w:color="auto" w:fill="auto"/>
          <w:vertAlign w:val="baseline"/>
          <w:rtl w:val="0"/>
          <w14:textFill>
            <w14:solidFill>
              <w14:srgbClr w14:val="365F91"/>
            </w14:solidFill>
          </w14:textFill>
        </w:rPr>
        <w:t xml:space="preserve">F. </w:t>
      </w:r>
      <w:r>
        <w:rPr>
          <w:rFonts w:ascii="Noto Sans CJK JP" w:cs="Noto Sans CJK JP" w:hAnsi="Noto Sans CJK JP" w:eastAsia="Noto Sans CJK JP"/>
          <w:b w:val="1"/>
          <w:bCs w:val="1"/>
          <w:caps w:val="0"/>
          <w:smallCaps w:val="0"/>
          <w:strike w:val="0"/>
          <w:dstrike w:val="0"/>
          <w:outline w:val="0"/>
          <w:color w:val="365f91"/>
          <w:sz w:val="32"/>
          <w:szCs w:val="32"/>
          <w:u w:val="none" w:color="365f91"/>
          <w:shd w:val="nil" w:color="auto" w:fill="auto"/>
          <w:vertAlign w:val="baseline"/>
          <w:rtl w:val="0"/>
          <w:lang w:val="ja-JP" w:eastAsia="ja-JP"/>
          <w14:textFill>
            <w14:solidFill>
              <w14:srgbClr w14:val="365F91"/>
            </w14:solidFill>
          </w14:textFill>
        </w:rPr>
        <w:t>一人の飲み手として</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lang w:val="ja-JP" w:eastAsia="ja-JP"/>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最後になりますが、</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日本茶は、</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何も知らなくても美味しく飲めます。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lang w:val="ja-JP" w:eastAsia="ja-JP"/>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その上で、</w:t>
      </w:r>
      <w:r>
        <w:rPr>
          <w:rFonts w:ascii="Noto Sans CJK JP" w:cs="Noto Sans CJK JP" w:hAnsi="Noto Sans CJK JP" w:eastAsia="Noto Sans CJK JP"/>
          <w:sz w:val="22"/>
          <w:szCs w:val="22"/>
          <w:rtl w:val="0"/>
          <w:lang w:val="ja-JP" w:eastAsia="ja-JP"/>
        </w:rPr>
        <w:t>「このお茶はどんなお茶だろう」「どうやって淹れてみよう」</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と思ったなら、その時点で、その一杯を自分で考え始めています。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私が今回伝えたいのは、まさにその楽しさです。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14:textFill>
            <w14:solidFill>
              <w14:srgbClr w14:val="000000"/>
            </w14:solidFill>
          </w14:textFill>
        </w:rPr>
        <w:t>10</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年、</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14:textFill>
            <w14:solidFill>
              <w14:srgbClr w14:val="000000"/>
            </w14:solidFill>
          </w14:textFill>
        </w:rPr>
        <w:t>20</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年経てば、また次の世代が日本茶に出会い</w:t>
      </w: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、何度でも再発見されます。</w:t>
      </w:r>
    </w:p>
    <w:p>
      <w:pPr>
        <w:pStyle w:val="本文"/>
        <w:spacing w:after="140" w:line="324" w:lineRule="auto"/>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14:textFill>
            <w14:solidFill>
              <w14:srgbClr w14:val="000000"/>
            </w14:solidFill>
          </w14:textFill>
        </w:rPr>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飲む人が、日本茶を面白がり続けること。</w:t>
      </w:r>
    </w:p>
    <w:p>
      <w:pPr>
        <w:pStyle w:val="本文"/>
        <w:spacing w:after="140" w:line="324" w:lineRule="auto"/>
      </w:pPr>
      <w:r>
        <w:rPr>
          <w:rFonts w:ascii="Noto Sans CJK JP" w:cs="Noto Sans CJK JP" w:hAnsi="Noto Sans CJK JP" w:eastAsia="Noto Sans CJK JP"/>
          <w:caps w:val="0"/>
          <w:smallCaps w:val="0"/>
          <w:strike w:val="0"/>
          <w:dstrike w:val="0"/>
          <w:outline w:val="0"/>
          <w:color w:val="000000"/>
          <w:sz w:val="22"/>
          <w:szCs w:val="22"/>
          <w:u w:val="none" w:color="000000"/>
          <w:shd w:val="nil" w:color="auto" w:fill="auto"/>
          <w:vertAlign w:val="baseline"/>
          <w:rtl w:val="0"/>
          <w:lang w:val="ja-JP" w:eastAsia="ja-JP"/>
          <w14:textFill>
            <w14:solidFill>
              <w14:srgbClr w14:val="000000"/>
            </w14:solidFill>
          </w14:textFill>
        </w:rPr>
        <w:t>私は、それも日本茶を未来へつないでいくことの一つだと思っています。</w:t>
      </w:r>
    </w:p>
    <w:sectPr>
      <w:headerReference w:type="default" r:id="rId4"/>
      <w:footerReference w:type="default" r:id="rId5"/>
      <w:pgSz w:w="12240" w:h="15840" w:orient="portrait"/>
      <w:pgMar w:top="1134" w:right="1247" w:bottom="1134" w:left="1247"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ヒラギノ角ゴ ProN W3">
    <w:charset w:val="00"/>
    <w:family w:val="roman"/>
    <w:pitch w:val="default"/>
  </w:font>
  <w:font w:name="Noto Sans CJK JP">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ヘッダとフッタ"/>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ヘッダとフッタ"/>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日本語" w:val="‘“(〔[{〈《「『【⦅〘〖«〝︵︷︹︻︽︿﹁﹃﹇﹙﹛﹝｢"/>
  <w:noLineBreaksBefore w:lang="日本語"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ヘッダとフッタ">
    <w:name w:val="ヘッダとフッタ"/>
    <w:next w:val="ヘッダとフッタ"/>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ヒラギノ角ゴ ProN W3" w:cs="Arial Unicode MS" w:hAnsi="ヒラギノ角ゴ ProN W3"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本文"/>
    <w:pPr>
      <w:keepNext w:val="0"/>
      <w:keepLines w:val="0"/>
      <w:pageBreakBefore w:val="0"/>
      <w:widowControl w:val="1"/>
      <w:pBdr>
        <w:top w:val="nil"/>
        <w:left w:val="nil"/>
        <w:bottom w:val="single" w:color="4f81bd" w:sz="8" w:space="0" w:shadow="0" w:frame="0"/>
        <w:right w:val="nil"/>
      </w:pBdr>
      <w:shd w:val="clear" w:color="auto" w:fill="auto"/>
      <w:suppressAutoHyphens w:val="0"/>
      <w:bidi w:val="0"/>
      <w:spacing w:before="0" w:after="300" w:line="240" w:lineRule="auto"/>
      <w:ind w:left="0" w:right="0" w:firstLine="0"/>
      <w:jc w:val="left"/>
      <w:outlineLvl w:val="9"/>
    </w:pPr>
    <w:rPr>
      <w:rFonts w:ascii="Noto Sans CJK JP" w:cs="Noto Sans CJK JP" w:hAnsi="Noto Sans CJK JP" w:eastAsia="Noto Sans CJK JP"/>
      <w:b w:val="0"/>
      <w:bCs w:val="0"/>
      <w:i w:val="0"/>
      <w:iCs w:val="0"/>
      <w:caps w:val="0"/>
      <w:smallCaps w:val="0"/>
      <w:strike w:val="0"/>
      <w:dstrike w:val="0"/>
      <w:outline w:val="0"/>
      <w:color w:val="17365d"/>
      <w:spacing w:val="0"/>
      <w:kern w:val="0"/>
      <w:position w:val="0"/>
      <w:sz w:val="44"/>
      <w:szCs w:val="44"/>
      <w:u w:val="none" w:color="17365d"/>
      <w:shd w:val="nil" w:color="auto" w:fill="auto"/>
      <w:vertAlign w:val="baseline"/>
      <w:lang w:val="ja-JP" w:eastAsia="ja-JP"/>
      <w14:textFill>
        <w14:solidFill>
          <w14:srgbClr w14:val="17365D"/>
        </w14:solidFill>
      </w14:textFill>
    </w:rPr>
  </w:style>
  <w:style w:type="paragraph" w:styleId="本文">
    <w:name w:val="本文"/>
    <w:next w:val="本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ja-JP" w:eastAsia="ja-JP"/>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ヒラギノ角ゴ ProN W6"/>
        <a:ea typeface="ヒラギノ角ゴ ProN W6"/>
        <a:cs typeface="ヒラギノ角ゴ ProN W6"/>
      </a:majorFont>
      <a:minorFont>
        <a:latin typeface="ヒラギノ角ゴ ProN W3"/>
        <a:ea typeface="ヒラギノ角ゴ ProN W3"/>
        <a:cs typeface="ヒラギノ角ゴ ProN W3"/>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