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招标公告</w:t>
      </w:r>
    </w:p>
    <w:p>
      <w:r>
        <w:t>1.1 项目概况：本项目为某市政工程公开招标。</w:t>
      </w:r>
    </w:p>
    <w:p>
      <w:r>
        <w:t>第二章 投标人须知</w:t>
      </w:r>
    </w:p>
    <w:p>
      <w:r>
        <w:t>2.1 资格条件：投标人须具有建筑智能化工程专业承包壹级资质。</w:t>
      </w:r>
    </w:p>
    <w:p>
      <w:r>
        <w:t>2.2 业绩要求：近三年内至少完成5个同类项目，单个合同额不低于1000万元。</w:t>
      </w:r>
    </w:p>
    <w:p>
      <w:r>
        <w:t>2.3 发售期要求：投标文件发售期自公告之日起3个工作日。</w:t>
      </w:r>
    </w:p>
    <w:p>
      <w:r>
        <w:t>2.4 技术要求：服务器须采用Intel Xeon Gold 6450处理器，内存不低于128GB。</w:t>
      </w:r>
    </w:p>
    <w:p>
      <w:r>
        <w:t>2.5 地域要求：投标人须在本省具有3年以上服务经验。</w:t>
      </w:r>
    </w:p>
    <w:p>
      <w:r>
        <w:t>2.6 评分标准：技术方案主观评分占50%，商务报价占30%，客观资质占20%。</w:t>
      </w:r>
    </w:p>
    <w:p>
      <w:r>
        <w:t>第三章 合同条款</w:t>
      </w:r>
    </w:p>
    <w:p>
      <w:r>
        <w:t>3.1 投标保证金为项目估算价的3%。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招标人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