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Задание основано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на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вычислении метрик рёбер и применении их для предсказания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появления рёбер в темпоральных (временных) графах.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ИдеязаданиявзятаизстатьиBruin, Gerrit Jan de; Veenman, Cor J.; van den Herik, H. Jaap; Takes, Frank W. (2021): Supervised temporal link prediction in large-scale real-world networks. In Soc. Netw. Anal. Min. 11 (1). DOI: 10.1007/s13278-021-00787-3.</w:t>
      </w:r>
    </w:p>
    <w:p>
      <w:pPr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</w:pPr>
    </w:p>
    <w:p>
      <w:pPr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</w:rPr>
        <w:t>Данные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>Д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ля работы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предлагаются датасеты, размещенные на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instrText xml:space="preserve"> HYPERLINK "http://konect.cc/networks/"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http://konect.cc/networks/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и представляющие собой реальный сети различной природы (социальные, информационные, т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ехнологические).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Каждый датасет –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 xml:space="preserve">это темпоральный (временной) граф, где для каждого ребра указана временная отметкав промежутке от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>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 xml:space="preserve">до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>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′′–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время появления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ребра в графе.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Все графы считать неориентированными.</w:t>
      </w:r>
    </w:p>
    <w:p>
      <w:pPr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AF9F8"/>
        </w:rPr>
      </w:pPr>
    </w:p>
    <w:p>
      <w:pPr>
        <w:jc w:val="both"/>
      </w:pPr>
      <w:r>
        <w:drawing>
          <wp:inline distT="0" distB="0" distL="114300" distR="114300">
            <wp:extent cx="5464810" cy="1050290"/>
            <wp:effectExtent l="0" t="0" r="2540" b="165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739765" cy="3451860"/>
            <wp:effectExtent l="0" t="0" r="13335" b="152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658485" cy="2690495"/>
            <wp:effectExtent l="0" t="0" r="18415" b="146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690870" cy="1603375"/>
            <wp:effectExtent l="0" t="0" r="5080" b="158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Построение векторов признаков для предсказания появления ребер в графе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>.</w:t>
      </w:r>
    </w:p>
    <w:p>
      <w:pPr>
        <w:numPr>
          <w:numId w:val="0"/>
        </w:numPr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В работе [1]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предлагается несколько вариантов построения признакового описания, а затем сравнивается качество полученных предсказаний.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>Нужно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 xml:space="preserve"> построить два различных набора признаков: статический (I)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и один из II-A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(см. </w:t>
      </w:r>
      <w:r>
        <w:rPr>
          <w:rFonts w:hint="default" w:ascii="Times New Roman" w:hAnsi="Times New Roman" w:eastAsia="sans-serif" w:cs="Times New Roman"/>
          <w:i w:val="0"/>
          <w:iCs w:val="0"/>
          <w:spacing w:val="0"/>
          <w:sz w:val="24"/>
          <w:szCs w:val="24"/>
          <w:shd w:val="clear" w:fill="FAF9F8"/>
          <w:lang w:val="ru-RU"/>
        </w:rPr>
        <w:t>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>татью)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 xml:space="preserve">. </w:t>
      </w:r>
    </w:p>
    <w:p>
      <w:pPr>
        <w:numPr>
          <w:numId w:val="0"/>
        </w:numPr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Б. Бинарная классификация.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Для обучения модели применяется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алгоритм логистической регрессии.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Для оценки качества построенной модели используется метрика AUC(Area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Under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the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Receiver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Operating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Curve)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–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площадь под ROCAUC–кривой.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ROСAUC–кривая строится на основании соотношения доли верно классифицированных объектов, обладающих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некоторым свойством(TPRtruepositiverate)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и долио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бъектов, не обладающих свойством, но ошибочно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классифицированных как обладающие этим свойством (FPRfalsepositiverate), при различных уровнях порога принятия решения.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TPR–доля рёбер, которые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появились в графе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>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14"/>
          <w:szCs w:val="14"/>
          <w:shd w:val="clear" w:fill="FAF9F8"/>
        </w:rPr>
        <w:t>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14"/>
          <w:szCs w:val="14"/>
          <w:shd w:val="clear" w:fill="FAF9F8"/>
          <w:lang w:val="en-US"/>
        </w:rPr>
        <w:t>u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14"/>
          <w:szCs w:val="14"/>
          <w:shd w:val="clear" w:fill="FAF9F8"/>
        </w:rPr>
        <w:t>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14"/>
          <w:szCs w:val="14"/>
          <w:shd w:val="clear" w:fill="FAF9F8"/>
          <w:lang w:val="en-US"/>
        </w:rPr>
        <w:t>v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14"/>
          <w:szCs w:val="14"/>
          <w:shd w:val="clear" w:fill="FAF9F8"/>
        </w:rPr>
        <w:t>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=1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и которые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классификатор отметил, как появившиеся в графе.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  <w:lang w:val="en-US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AF9F8"/>
        </w:rPr>
        <w:t>FPR–доля рёбер, которые не появились в графе, но которые были отмечены, как появившиеся.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BA911E"/>
    <w:multiLevelType w:val="singleLevel"/>
    <w:tmpl w:val="F0BA911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3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2023-07-12T22:26:12Z</dcterms:created>
  <dc:creator>vanes</dc:creator>
  <cp:lastModifiedBy>Арсений Фомин</cp:lastModifiedBy>
  <dcterms:modified xsi:type="dcterms:W3CDTF">2023-07-12T22:40:28Z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184682960F854CA3B86BBDCA7E981508</vt:lpwstr>
  </property>
</Properties>
</file>