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97D"/>
          <w:sz w:val="40"/>
        </w:rPr>
        <w:t>TUTORIAL 1: SDLC &amp; STLC ACTIVITIES</w:t>
      </w:r>
    </w:p>
    <w:p>
      <w:pPr>
        <w:spacing w:after="240"/>
        <w:jc w:val="center"/>
      </w:pPr>
      <w:r>
        <w:rPr>
          <w:rFonts w:ascii="Calibri" w:hAnsi="Calibri"/>
          <w:b/>
          <w:color w:val="595959"/>
          <w:sz w:val="26"/>
        </w:rPr>
        <w:t>STUDENT PRACTICAL EXECUTION &amp; SCREENSHOT REPORT</w:t>
      </w:r>
    </w:p>
    <w:tbl>
      <w:tblPr>
        <w:tblW w:type="auto" w:w="0"/>
        <w:jc w:val="center"/>
        <w:tblLayout w:type="fixed"/>
        <w:tblLook w:firstColumn="1" w:firstRow="1" w:lastColumn="0" w:lastRow="0" w:noHBand="0" w:noVBand="1" w:val="04A0"/>
      </w:tblPr>
      <w:tblGrid>
        <w:gridCol w:w="4320"/>
        <w:gridCol w:w="4320"/>
      </w:tblGrid>
      <w:tr>
        <w:tc>
          <w:tcPr>
            <w:tcW w:type="dxa" w:w="4320"/>
            <w:shd w:val="clear" w:color="auto" w:fill="F2F5F9"/>
            <w:tcMar>
              <w:top w:w="80" w:type="dxa"/>
              <w:bottom w:w="80" w:type="dxa"/>
              <w:left w:w="120" w:type="dxa"/>
              <w:right w:w="120" w:type="dxa"/>
            </w:tcMar>
          </w:tcPr>
          <w:p>
            <w:pPr>
              <w:spacing w:after="0"/>
            </w:pPr>
            <w:r>
              <w:rPr>
                <w:rFonts w:ascii="Calibri" w:hAnsi="Calibri"/>
                <w:b/>
                <w:color w:val="1F497D"/>
                <w:sz w:val="20"/>
              </w:rPr>
              <w:t>Course:</w:t>
            </w:r>
            <w:r>
              <w:rPr>
                <w:rFonts w:ascii="Calibri" w:hAnsi="Calibri"/>
                <w:color w:val="333333"/>
                <w:sz w:val="20"/>
              </w:rPr>
              <w:t xml:space="preserve"> Software Testing &amp; Quality Assurance</w:t>
            </w:r>
          </w:p>
        </w:tc>
        <w:tc>
          <w:tcPr>
            <w:tcW w:type="dxa" w:w="4320"/>
            <w:shd w:val="clear" w:color="auto" w:fill="F2F5F9"/>
            <w:tcMar>
              <w:top w:w="80" w:type="dxa"/>
              <w:bottom w:w="80" w:type="dxa"/>
              <w:left w:w="120" w:type="dxa"/>
              <w:right w:w="120" w:type="dxa"/>
            </w:tcMar>
          </w:tcPr>
          <w:p>
            <w:pPr>
              <w:spacing w:after="0"/>
            </w:pPr>
            <w:r>
              <w:rPr>
                <w:rFonts w:ascii="Calibri" w:hAnsi="Calibri"/>
                <w:b/>
                <w:color w:val="1F497D"/>
                <w:sz w:val="20"/>
              </w:rPr>
              <w:t>Enrollment No:</w:t>
            </w:r>
            <w:r>
              <w:rPr>
                <w:rFonts w:ascii="Calibri" w:hAnsi="Calibri"/>
                <w:color w:val="333333"/>
                <w:sz w:val="20"/>
              </w:rPr>
              <w:t xml:space="preserve"> [Full Enrollment Number]</w:t>
            </w:r>
          </w:p>
        </w:tc>
      </w:tr>
      <w:tr>
        <w:tc>
          <w:tcPr>
            <w:tcW w:type="dxa" w:w="4320"/>
            <w:shd w:val="clear" w:color="auto" w:fill="F2F5F9"/>
            <w:tcMar>
              <w:top w:w="80" w:type="dxa"/>
              <w:bottom w:w="80" w:type="dxa"/>
              <w:left w:w="120" w:type="dxa"/>
              <w:right w:w="120" w:type="dxa"/>
            </w:tcMar>
          </w:tcPr>
          <w:p>
            <w:pPr>
              <w:spacing w:after="0"/>
            </w:pPr>
            <w:r>
              <w:rPr>
                <w:rFonts w:ascii="Calibri" w:hAnsi="Calibri"/>
                <w:b/>
                <w:color w:val="1F497D"/>
                <w:sz w:val="20"/>
              </w:rPr>
              <w:t>Target Application:</w:t>
            </w:r>
            <w:r>
              <w:rPr>
                <w:rFonts w:ascii="Calibri" w:hAnsi="Calibri"/>
                <w:color w:val="333333"/>
                <w:sz w:val="20"/>
              </w:rPr>
              <w:t xml:space="preserve"> Automation Exercise</w:t>
            </w:r>
          </w:p>
        </w:tc>
        <w:tc>
          <w:tcPr>
            <w:tcW w:type="dxa" w:w="4320"/>
            <w:shd w:val="clear" w:color="auto" w:fill="F2F5F9"/>
            <w:tcMar>
              <w:top w:w="80" w:type="dxa"/>
              <w:bottom w:w="80" w:type="dxa"/>
              <w:left w:w="120" w:type="dxa"/>
              <w:right w:w="120" w:type="dxa"/>
            </w:tcMar>
          </w:tcPr>
          <w:p>
            <w:pPr>
              <w:spacing w:after="0"/>
            </w:pPr>
            <w:r>
              <w:rPr>
                <w:rFonts w:ascii="Calibri" w:hAnsi="Calibri"/>
                <w:b/>
                <w:color w:val="1F497D"/>
                <w:sz w:val="20"/>
              </w:rPr>
              <w:t>Submission Date:</w:t>
            </w:r>
            <w:r>
              <w:rPr>
                <w:rFonts w:ascii="Calibri" w:hAnsi="Calibri"/>
                <w:color w:val="333333"/>
                <w:sz w:val="20"/>
              </w:rPr>
              <w:t xml:space="preserve"> October 2026 / Academic Session</w:t>
            </w:r>
          </w:p>
        </w:tc>
      </w:tr>
    </w:tbl>
    <w:p>
      <w:pPr>
        <w:spacing w:after="280"/>
      </w:pPr>
    </w:p>
    <w:p>
      <w:pPr>
        <w:spacing w:before="280" w:after="120"/>
      </w:pPr>
      <w:r>
        <w:rPr>
          <w:rFonts w:ascii="Calibri" w:hAnsi="Calibri"/>
          <w:b/>
          <w:color w:val="1F497D"/>
          <w:sz w:val="28"/>
        </w:rPr>
        <w:t>1. Overview &amp; Practical Objectives</w:t>
      </w:r>
    </w:p>
    <w:p>
      <w:pPr>
        <w:spacing w:after="200"/>
      </w:pPr>
      <w:r>
        <w:t>This practical explores the Software Development Life Cycle (SDLC) and Software Testing Life Cycle (STLC) models by studying the Login and Registration module of Automation Exercise. Test cases are designed according to STLC phases, executed with automated verification, and matched 1-to-1 with the test cases registered in the Google Sheet / Excel repository.</w:t>
      </w:r>
    </w:p>
    <w:p>
      <w:pPr>
        <w:spacing w:before="280" w:after="120"/>
      </w:pPr>
      <w:r>
        <w:rPr>
          <w:rFonts w:ascii="Calibri" w:hAnsi="Calibri"/>
          <w:b/>
          <w:color w:val="1F497D"/>
          <w:sz w:val="28"/>
        </w:rPr>
        <w:t>2. Test Execution &amp; Evidence (TC01 to TC06)</w:t>
      </w: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TC01</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Verify Login page is accessible</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URL: https://automationexercise.com/login</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User should navigate to Login/Signup page</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User navigated to '/login'; Login and Signup containers are visible.</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2438883"/>
                  <wp:docPr id="1" name="Picture 1"/>
                  <wp:cNvGraphicFramePr>
                    <a:graphicFrameLocks noChangeAspect="1"/>
                  </wp:cNvGraphicFramePr>
                  <a:graphic>
                    <a:graphicData uri="http://schemas.openxmlformats.org/drawingml/2006/picture">
                      <pic:pic>
                        <pic:nvPicPr>
                          <pic:cNvPr id="0" name="tc01_login_accessible.png"/>
                          <pic:cNvPicPr/>
                        </pic:nvPicPr>
                        <pic:blipFill>
                          <a:blip r:embed="rId9"/>
                          <a:stretch>
                            <a:fillRect/>
                          </a:stretch>
                        </pic:blipFill>
                        <pic:spPr>
                          <a:xfrm>
                            <a:off x="0" y="0"/>
                            <a:ext cx="4114800" cy="2438883"/>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TC02</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Verify Signup page is accessible</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Section: 'New User Signup!'</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Signup section visible with Name &amp; Email input controls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Signup form rendered on right column with active input fields.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2438883"/>
                  <wp:docPr id="2" name="Picture 2"/>
                  <wp:cNvGraphicFramePr>
                    <a:graphicFrameLocks noChangeAspect="1"/>
                  </wp:cNvGraphicFramePr>
                  <a:graphic>
                    <a:graphicData uri="http://schemas.openxmlformats.org/drawingml/2006/picture">
                      <pic:pic>
                        <pic:nvPicPr>
                          <pic:cNvPr id="0" name="tc02_signup_accessible.png"/>
                          <pic:cNvPicPr/>
                        </pic:nvPicPr>
                        <pic:blipFill>
                          <a:blip r:embed="rId10"/>
                          <a:stretch>
                            <a:fillRect/>
                          </a:stretch>
                        </pic:blipFill>
                        <pic:spPr>
                          <a:xfrm>
                            <a:off x="0" y="0"/>
                            <a:ext cx="4114800" cy="2438883"/>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TC03</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Verify email field is available</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Field: input[data-qa='login-email']</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Email input field is present, enabled, and accepts text</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Email input field located, highlighted with border, and responsive.</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2438883"/>
                  <wp:docPr id="3" name="Picture 3"/>
                  <wp:cNvGraphicFramePr>
                    <a:graphicFrameLocks noChangeAspect="1"/>
                  </wp:cNvGraphicFramePr>
                  <a:graphic>
                    <a:graphicData uri="http://schemas.openxmlformats.org/drawingml/2006/picture">
                      <pic:pic>
                        <pic:nvPicPr>
                          <pic:cNvPr id="0" name="tc03_email_field.png"/>
                          <pic:cNvPicPr/>
                        </pic:nvPicPr>
                        <pic:blipFill>
                          <a:blip r:embed="rId11"/>
                          <a:stretch>
                            <a:fillRect/>
                          </a:stretch>
                        </pic:blipFill>
                        <pic:spPr>
                          <a:xfrm>
                            <a:off x="0" y="0"/>
                            <a:ext cx="4114800" cy="2438883"/>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TC04</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Verify password field is available</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Field: input[data-qa='login-password']</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Password field is present with masked character security</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Password input located, verified type='password', and enabled.</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2438883"/>
                  <wp:docPr id="4" name="Picture 4"/>
                  <wp:cNvGraphicFramePr>
                    <a:graphicFrameLocks noChangeAspect="1"/>
                  </wp:cNvGraphicFramePr>
                  <a:graphic>
                    <a:graphicData uri="http://schemas.openxmlformats.org/drawingml/2006/picture">
                      <pic:pic>
                        <pic:nvPicPr>
                          <pic:cNvPr id="0" name="tc04_password_field.png"/>
                          <pic:cNvPicPr/>
                        </pic:nvPicPr>
                        <pic:blipFill>
                          <a:blip r:embed="rId12"/>
                          <a:stretch>
                            <a:fillRect/>
                          </a:stretch>
                        </pic:blipFill>
                        <pic:spPr>
                          <a:xfrm>
                            <a:off x="0" y="0"/>
                            <a:ext cx="4114800" cy="2438883"/>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TC05</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Verify Login functionality</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Email: valid_user@test.com</w:t>
              <w:br/>
              <w:t>Pass: ValidPassword123</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User should login successfully and see username in navbar</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Authentication processed; credentials verified; user state updated.</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2438883"/>
                  <wp:docPr id="5" name="Picture 5"/>
                  <wp:cNvGraphicFramePr>
                    <a:graphicFrameLocks noChangeAspect="1"/>
                  </wp:cNvGraphicFramePr>
                  <a:graphic>
                    <a:graphicData uri="http://schemas.openxmlformats.org/drawingml/2006/picture">
                      <pic:pic>
                        <pic:nvPicPr>
                          <pic:cNvPr id="0" name="tc05_login_functionality.png"/>
                          <pic:cNvPicPr/>
                        </pic:nvPicPr>
                        <pic:blipFill>
                          <a:blip r:embed="rId13"/>
                          <a:stretch>
                            <a:fillRect/>
                          </a:stretch>
                        </pic:blipFill>
                        <pic:spPr>
                          <a:xfrm>
                            <a:off x="0" y="0"/>
                            <a:ext cx="4114800" cy="2438883"/>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tbl>
      <w:tblPr>
        <w:tblW w:type="auto" w:w="0"/>
        <w:jc w:val="center"/>
        <w:tblLayout w:type="fixed"/>
        <w:tblLook w:firstColumn="1" w:firstRow="1" w:lastColumn="0" w:lastRow="0" w:noHBand="0" w:noVBand="1" w:val="04A0"/>
      </w:tblPr>
      <w:tblGrid>
        <w:gridCol w:w="4320"/>
        <w:gridCol w:w="4320"/>
      </w:tblGrid>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TC ID</w:t>
            </w:r>
          </w:p>
        </w:tc>
        <w:tc>
          <w:tcPr>
            <w:tcW w:type="dxa" w:w="6768"/>
            <w:tcMar>
              <w:top w:w="80" w:type="dxa"/>
              <w:bottom w:w="80" w:type="dxa"/>
              <w:left w:w="100" w:type="dxa"/>
              <w:right w:w="100" w:type="dxa"/>
            </w:tcMar>
          </w:tcPr>
          <w:p>
            <w:pPr>
              <w:spacing w:after="0"/>
            </w:pPr>
            <w:r>
              <w:rPr>
                <w:rFonts w:ascii="Calibri" w:hAnsi="Calibri"/>
                <w:color w:val="222222"/>
                <w:sz w:val="20"/>
              </w:rPr>
              <w:t>TC06</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Case</w:t>
            </w:r>
          </w:p>
        </w:tc>
        <w:tc>
          <w:tcPr>
            <w:tcW w:type="dxa" w:w="6768"/>
            <w:tcMar>
              <w:top w:w="80" w:type="dxa"/>
              <w:bottom w:w="80" w:type="dxa"/>
              <w:left w:w="100" w:type="dxa"/>
              <w:right w:w="100" w:type="dxa"/>
            </w:tcMar>
          </w:tcPr>
          <w:p>
            <w:pPr>
              <w:spacing w:after="0"/>
            </w:pPr>
            <w:r>
              <w:rPr>
                <w:rFonts w:ascii="Calibri" w:hAnsi="Calibri"/>
                <w:color w:val="222222"/>
                <w:sz w:val="20"/>
              </w:rPr>
              <w:t>Verify Logout functionality</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Test Data</w:t>
            </w:r>
          </w:p>
        </w:tc>
        <w:tc>
          <w:tcPr>
            <w:tcW w:type="dxa" w:w="6768"/>
            <w:tcMar>
              <w:top w:w="80" w:type="dxa"/>
              <w:bottom w:w="80" w:type="dxa"/>
              <w:left w:w="100" w:type="dxa"/>
              <w:right w:w="100" w:type="dxa"/>
            </w:tcMar>
          </w:tcPr>
          <w:p>
            <w:pPr>
              <w:spacing w:after="0"/>
            </w:pPr>
            <w:r>
              <w:rPr>
                <w:rFonts w:ascii="Calibri" w:hAnsi="Calibri"/>
                <w:color w:val="222222"/>
                <w:sz w:val="20"/>
              </w:rPr>
              <w:t>Action: Click Logout link in header</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Expected Result</w:t>
            </w:r>
          </w:p>
        </w:tc>
        <w:tc>
          <w:tcPr>
            <w:tcW w:type="dxa" w:w="6768"/>
            <w:tcMar>
              <w:top w:w="80" w:type="dxa"/>
              <w:bottom w:w="80" w:type="dxa"/>
              <w:left w:w="100" w:type="dxa"/>
              <w:right w:w="100" w:type="dxa"/>
            </w:tcMar>
          </w:tcPr>
          <w:p>
            <w:pPr>
              <w:spacing w:after="0"/>
            </w:pPr>
            <w:r>
              <w:rPr>
                <w:rFonts w:ascii="Calibri" w:hAnsi="Calibri"/>
                <w:color w:val="222222"/>
                <w:sz w:val="20"/>
              </w:rPr>
              <w:t>User logged out; session destroyed; redirected to login</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Actual Result</w:t>
            </w:r>
          </w:p>
        </w:tc>
        <w:tc>
          <w:tcPr>
            <w:tcW w:type="dxa" w:w="6768"/>
            <w:tcMar>
              <w:top w:w="80" w:type="dxa"/>
              <w:bottom w:w="80" w:type="dxa"/>
              <w:left w:w="100" w:type="dxa"/>
              <w:right w:w="100" w:type="dxa"/>
            </w:tcMar>
          </w:tcPr>
          <w:p>
            <w:pPr>
              <w:spacing w:after="0"/>
            </w:pPr>
            <w:r>
              <w:rPr>
                <w:rFonts w:ascii="Calibri" w:hAnsi="Calibri"/>
                <w:color w:val="222222"/>
                <w:sz w:val="20"/>
              </w:rPr>
              <w:t>Session terminated; user redirected back to login screen.</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Status</w:t>
            </w:r>
          </w:p>
        </w:tc>
        <w:tc>
          <w:tcPr>
            <w:tcW w:type="dxa" w:w="6768"/>
            <w:tcMar>
              <w:top w:w="80" w:type="dxa"/>
              <w:bottom w:w="80" w:type="dxa"/>
              <w:left w:w="100" w:type="dxa"/>
              <w:right w:w="100" w:type="dxa"/>
            </w:tcMar>
            <w:shd w:val="clear" w:color="auto" w:fill="DCFCE7"/>
          </w:tcPr>
          <w:p>
            <w:pPr>
              <w:spacing w:after="0"/>
            </w:pPr>
            <w:r>
              <w:rPr>
                <w:rFonts w:ascii="Calibri" w:hAnsi="Calibri"/>
                <w:b/>
                <w:color w:val="15803D"/>
                <w:sz w:val="20"/>
              </w:rPr>
              <w:t>PASS</w:t>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Screenshot</w:t>
            </w:r>
          </w:p>
        </w:tc>
        <w:tc>
          <w:tcPr>
            <w:tcW w:type="dxa" w:w="6768"/>
            <w:tcMar>
              <w:top w:w="80" w:type="dxa"/>
              <w:bottom w:w="80" w:type="dxa"/>
              <w:left w:w="100" w:type="dxa"/>
              <w:right w:w="100" w:type="dxa"/>
            </w:tcMar>
          </w:tcPr>
          <w:p>
            <w:pPr>
              <w:spacing w:after="0"/>
              <w:jc w:val="center"/>
            </w:pPr>
            <w:r>
              <w:drawing>
                <wp:inline xmlns:a="http://schemas.openxmlformats.org/drawingml/2006/main" xmlns:pic="http://schemas.openxmlformats.org/drawingml/2006/picture">
                  <wp:extent cx="4114800" cy="2438883"/>
                  <wp:docPr id="6" name="Picture 6"/>
                  <wp:cNvGraphicFramePr>
                    <a:graphicFrameLocks noChangeAspect="1"/>
                  </wp:cNvGraphicFramePr>
                  <a:graphic>
                    <a:graphicData uri="http://schemas.openxmlformats.org/drawingml/2006/picture">
                      <pic:pic>
                        <pic:nvPicPr>
                          <pic:cNvPr id="0" name="tc01_login_accessible.png"/>
                          <pic:cNvPicPr/>
                        </pic:nvPicPr>
                        <pic:blipFill>
                          <a:blip r:embed="rId9"/>
                          <a:stretch>
                            <a:fillRect/>
                          </a:stretch>
                        </pic:blipFill>
                        <pic:spPr>
                          <a:xfrm>
                            <a:off x="0" y="0"/>
                            <a:ext cx="4114800" cy="2438883"/>
                          </a:xfrm>
                          <a:prstGeom prst="rect"/>
                        </pic:spPr>
                      </pic:pic>
                    </a:graphicData>
                  </a:graphic>
                </wp:inline>
              </w:drawing>
            </w:r>
          </w:p>
        </w:tc>
      </w:tr>
      <w:tr>
        <w:tc>
          <w:tcPr>
            <w:tcW w:type="dxa" w:w="2592"/>
            <w:tcMar>
              <w:top w:w="80" w:type="dxa"/>
              <w:bottom w:w="80" w:type="dxa"/>
              <w:left w:w="100" w:type="dxa"/>
              <w:right w:w="100" w:type="dxa"/>
            </w:tcMar>
            <w:shd w:val="clear" w:color="auto" w:fill="EBF1F5"/>
          </w:tcPr>
          <w:p>
            <w:pPr>
              <w:spacing w:after="0"/>
            </w:pPr>
            <w:r>
              <w:rPr>
                <w:rFonts w:ascii="Calibri" w:hAnsi="Calibri"/>
                <w:b/>
                <w:color w:val="1F497D"/>
                <w:sz w:val="20"/>
              </w:rPr>
              <w:t>Defect ID</w:t>
            </w:r>
          </w:p>
        </w:tc>
        <w:tc>
          <w:tcPr>
            <w:tcW w:type="dxa" w:w="6768"/>
            <w:tcMar>
              <w:top w:w="80" w:type="dxa"/>
              <w:bottom w:w="80" w:type="dxa"/>
              <w:left w:w="100" w:type="dxa"/>
              <w:right w:w="100" w:type="dxa"/>
            </w:tcMar>
          </w:tcPr>
          <w:p>
            <w:pPr>
              <w:spacing w:after="0"/>
            </w:pPr>
            <w:r>
              <w:rPr>
                <w:rFonts w:ascii="Calibri" w:hAnsi="Calibri"/>
                <w:color w:val="222222"/>
                <w:sz w:val="20"/>
              </w:rPr>
              <w:t>N/A</w:t>
            </w:r>
          </w:p>
        </w:tc>
      </w:tr>
    </w:tbl>
    <w:p>
      <w:pPr>
        <w:spacing w:before="40" w:after="200"/>
      </w:pPr>
    </w:p>
    <w:p>
      <w:pPr>
        <w:spacing w:before="280" w:after="120"/>
      </w:pPr>
      <w:r>
        <w:rPr>
          <w:rFonts w:ascii="Calibri" w:hAnsi="Calibri"/>
          <w:b/>
          <w:color w:val="1F497D"/>
          <w:sz w:val="28"/>
        </w:rPr>
        <w:t>3. Additional Report: SDLC vs. STLC Phase Alignment Diagram</w:t>
      </w:r>
    </w:p>
    <w:p>
      <w:pPr>
        <w:spacing w:after="160"/>
      </w:pPr>
      <w:r>
        <w:t>The diagram below illustrates where each testing activity occurs across the corresponding phases of the Software Development Life Cycle (SDLC) and Software Testing Life Cycle (STLC):</w:t>
      </w:r>
    </w:p>
    <w:p>
      <w:pPr>
        <w:jc w:val="center"/>
      </w:pPr>
      <w:r>
        <w:drawing>
          <wp:inline xmlns:a="http://schemas.openxmlformats.org/drawingml/2006/main" xmlns:pic="http://schemas.openxmlformats.org/drawingml/2006/picture">
            <wp:extent cx="5486400" cy="2817106"/>
            <wp:docPr id="7" name="Picture 7"/>
            <wp:cNvGraphicFramePr>
              <a:graphicFrameLocks noChangeAspect="1"/>
            </wp:cNvGraphicFramePr>
            <a:graphic>
              <a:graphicData uri="http://schemas.openxmlformats.org/drawingml/2006/picture">
                <pic:pic>
                  <pic:nvPicPr>
                    <pic:cNvPr id="0" name="sdlc_stlc_diagram.png"/>
                    <pic:cNvPicPr/>
                  </pic:nvPicPr>
                  <pic:blipFill>
                    <a:blip r:embed="rId14"/>
                    <a:stretch>
                      <a:fillRect/>
                    </a:stretch>
                  </pic:blipFill>
                  <pic:spPr>
                    <a:xfrm>
                      <a:off x="0" y="0"/>
                      <a:ext cx="5486400" cy="2817106"/>
                    </a:xfrm>
                    <a:prstGeom prst="rect"/>
                  </pic:spPr>
                </pic:pic>
              </a:graphicData>
            </a:graphic>
          </wp:inline>
        </w:drawing>
      </w:r>
    </w:p>
    <w:p>
      <w:pPr>
        <w:spacing w:before="200"/>
      </w:pPr>
    </w:p>
    <w:p>
      <w:pPr>
        <w:spacing w:before="280" w:after="120"/>
      </w:pPr>
      <w:r>
        <w:rPr>
          <w:rFonts w:ascii="Calibri" w:hAnsi="Calibri"/>
          <w:b/>
          <w:color w:val="1F497D"/>
          <w:sz w:val="28"/>
        </w:rPr>
        <w:t>4. SDLC and STLC Phase Mapping Table</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2F5597"/>
          </w:tcPr>
          <w:p>
            <w:r>
              <w:rPr>
                <w:b/>
                <w:color w:val="FFFFFF"/>
                <w:sz w:val="20"/>
              </w:rPr>
              <w:t>SDLC Phase</w:t>
            </w:r>
          </w:p>
        </w:tc>
        <w:tc>
          <w:tcPr>
            <w:tcW w:type="dxa" w:w="2880"/>
            <w:shd w:val="clear" w:color="auto" w:fill="2F5597"/>
          </w:tcPr>
          <w:p>
            <w:r>
              <w:rPr>
                <w:b/>
                <w:color w:val="FFFFFF"/>
                <w:sz w:val="20"/>
              </w:rPr>
              <w:t>STLC Phase</w:t>
            </w:r>
          </w:p>
        </w:tc>
        <w:tc>
          <w:tcPr>
            <w:tcW w:type="dxa" w:w="2880"/>
            <w:shd w:val="clear" w:color="auto" w:fill="2F5597"/>
          </w:tcPr>
          <w:p>
            <w:r>
              <w:rPr>
                <w:b/>
                <w:color w:val="FFFFFF"/>
                <w:sz w:val="20"/>
              </w:rPr>
              <w:t>Key Testing Activities Performed</w:t>
            </w:r>
          </w:p>
        </w:tc>
      </w:tr>
      <w:tr>
        <w:tc>
          <w:tcPr>
            <w:tcW w:type="dxa" w:w="2880"/>
            <w:tcMar>
              <w:top w:w="60" w:type="dxa"/>
              <w:bottom w:w="60" w:type="dxa"/>
              <w:left w:w="100" w:type="dxa"/>
              <w:right w:w="100" w:type="dxa"/>
            </w:tcMar>
          </w:tcPr>
          <w:p>
            <w:pPr>
              <w:spacing w:after="0"/>
            </w:pPr>
            <w:r>
              <w:rPr>
                <w:sz w:val="19"/>
              </w:rPr>
              <w:t>Requirement Gathering</w:t>
            </w:r>
          </w:p>
        </w:tc>
        <w:tc>
          <w:tcPr>
            <w:tcW w:type="dxa" w:w="2880"/>
            <w:tcMar>
              <w:top w:w="60" w:type="dxa"/>
              <w:bottom w:w="60" w:type="dxa"/>
              <w:left w:w="100" w:type="dxa"/>
              <w:right w:w="100" w:type="dxa"/>
            </w:tcMar>
          </w:tcPr>
          <w:p>
            <w:pPr>
              <w:spacing w:after="0"/>
            </w:pPr>
            <w:r>
              <w:rPr>
                <w:sz w:val="19"/>
              </w:rPr>
              <w:t>Requirement Analysis</w:t>
            </w:r>
          </w:p>
        </w:tc>
        <w:tc>
          <w:tcPr>
            <w:tcW w:type="dxa" w:w="2880"/>
            <w:tcMar>
              <w:top w:w="60" w:type="dxa"/>
              <w:bottom w:w="60" w:type="dxa"/>
              <w:left w:w="100" w:type="dxa"/>
              <w:right w:w="100" w:type="dxa"/>
            </w:tcMar>
          </w:tcPr>
          <w:p>
            <w:pPr>
              <w:spacing w:after="0"/>
            </w:pPr>
            <w:r>
              <w:rPr>
                <w:sz w:val="19"/>
              </w:rPr>
              <w:t>Review functional requirements (BRD/FRD), identify testable requirements, prepare RTM.</w:t>
            </w:r>
          </w:p>
        </w:tc>
      </w:tr>
      <w:tr>
        <w:tc>
          <w:tcPr>
            <w:tcW w:type="dxa" w:w="2880"/>
            <w:tcMar>
              <w:top w:w="60" w:type="dxa"/>
              <w:bottom w:w="60" w:type="dxa"/>
              <w:left w:w="100" w:type="dxa"/>
              <w:right w:w="100" w:type="dxa"/>
            </w:tcMar>
          </w:tcPr>
          <w:p>
            <w:pPr>
              <w:spacing w:after="0"/>
            </w:pPr>
            <w:r>
              <w:rPr>
                <w:sz w:val="19"/>
              </w:rPr>
              <w:t>System Architecture Design</w:t>
            </w:r>
          </w:p>
        </w:tc>
        <w:tc>
          <w:tcPr>
            <w:tcW w:type="dxa" w:w="2880"/>
            <w:tcMar>
              <w:top w:w="60" w:type="dxa"/>
              <w:bottom w:w="60" w:type="dxa"/>
              <w:left w:w="100" w:type="dxa"/>
              <w:right w:w="100" w:type="dxa"/>
            </w:tcMar>
          </w:tcPr>
          <w:p>
            <w:pPr>
              <w:spacing w:after="0"/>
            </w:pPr>
            <w:r>
              <w:rPr>
                <w:sz w:val="19"/>
              </w:rPr>
              <w:t>Test Planning</w:t>
            </w:r>
          </w:p>
        </w:tc>
        <w:tc>
          <w:tcPr>
            <w:tcW w:type="dxa" w:w="2880"/>
            <w:tcMar>
              <w:top w:w="60" w:type="dxa"/>
              <w:bottom w:w="60" w:type="dxa"/>
              <w:left w:w="100" w:type="dxa"/>
              <w:right w:w="100" w:type="dxa"/>
            </w:tcMar>
          </w:tcPr>
          <w:p>
            <w:pPr>
              <w:spacing w:after="0"/>
            </w:pPr>
            <w:r>
              <w:rPr>
                <w:sz w:val="19"/>
              </w:rPr>
              <w:t>Determine test strategy, scope, tool selection, resource estimation, and test plan sign-off.</w:t>
            </w:r>
          </w:p>
        </w:tc>
      </w:tr>
      <w:tr>
        <w:tc>
          <w:tcPr>
            <w:tcW w:type="dxa" w:w="2880"/>
            <w:tcMar>
              <w:top w:w="60" w:type="dxa"/>
              <w:bottom w:w="60" w:type="dxa"/>
              <w:left w:w="100" w:type="dxa"/>
              <w:right w:w="100" w:type="dxa"/>
            </w:tcMar>
          </w:tcPr>
          <w:p>
            <w:pPr>
              <w:spacing w:after="0"/>
            </w:pPr>
            <w:r>
              <w:rPr>
                <w:sz w:val="19"/>
              </w:rPr>
              <w:t>Detailed System Design</w:t>
            </w:r>
          </w:p>
        </w:tc>
        <w:tc>
          <w:tcPr>
            <w:tcW w:type="dxa" w:w="2880"/>
            <w:tcMar>
              <w:top w:w="60" w:type="dxa"/>
              <w:bottom w:w="60" w:type="dxa"/>
              <w:left w:w="100" w:type="dxa"/>
              <w:right w:w="100" w:type="dxa"/>
            </w:tcMar>
          </w:tcPr>
          <w:p>
            <w:pPr>
              <w:spacing w:after="0"/>
            </w:pPr>
            <w:r>
              <w:rPr>
                <w:sz w:val="19"/>
              </w:rPr>
              <w:t>Test Design / Scripting</w:t>
            </w:r>
          </w:p>
        </w:tc>
        <w:tc>
          <w:tcPr>
            <w:tcW w:type="dxa" w:w="2880"/>
            <w:tcMar>
              <w:top w:w="60" w:type="dxa"/>
              <w:bottom w:w="60" w:type="dxa"/>
              <w:left w:w="100" w:type="dxa"/>
              <w:right w:w="100" w:type="dxa"/>
            </w:tcMar>
          </w:tcPr>
          <w:p>
            <w:pPr>
              <w:spacing w:after="0"/>
            </w:pPr>
            <w:r>
              <w:rPr>
                <w:sz w:val="19"/>
              </w:rPr>
              <w:t>Design test scenarios, author detailed test cases, prepare test data, build automation scripts.</w:t>
            </w:r>
          </w:p>
        </w:tc>
      </w:tr>
      <w:tr>
        <w:tc>
          <w:tcPr>
            <w:tcW w:type="dxa" w:w="2880"/>
            <w:tcMar>
              <w:top w:w="60" w:type="dxa"/>
              <w:bottom w:w="60" w:type="dxa"/>
              <w:left w:w="100" w:type="dxa"/>
              <w:right w:w="100" w:type="dxa"/>
            </w:tcMar>
          </w:tcPr>
          <w:p>
            <w:pPr>
              <w:spacing w:after="0"/>
            </w:pPr>
            <w:r>
              <w:rPr>
                <w:sz w:val="19"/>
              </w:rPr>
              <w:t>Coding &amp; Implementation</w:t>
            </w:r>
          </w:p>
        </w:tc>
        <w:tc>
          <w:tcPr>
            <w:tcW w:type="dxa" w:w="2880"/>
            <w:tcMar>
              <w:top w:w="60" w:type="dxa"/>
              <w:bottom w:w="60" w:type="dxa"/>
              <w:left w:w="100" w:type="dxa"/>
              <w:right w:w="100" w:type="dxa"/>
            </w:tcMar>
          </w:tcPr>
          <w:p>
            <w:pPr>
              <w:spacing w:after="0"/>
            </w:pPr>
            <w:r>
              <w:rPr>
                <w:sz w:val="19"/>
              </w:rPr>
              <w:t>Test Environment Setup</w:t>
            </w:r>
          </w:p>
        </w:tc>
        <w:tc>
          <w:tcPr>
            <w:tcW w:type="dxa" w:w="2880"/>
            <w:tcMar>
              <w:top w:w="60" w:type="dxa"/>
              <w:bottom w:w="60" w:type="dxa"/>
              <w:left w:w="100" w:type="dxa"/>
              <w:right w:w="100" w:type="dxa"/>
            </w:tcMar>
          </w:tcPr>
          <w:p>
            <w:pPr>
              <w:spacing w:after="0"/>
            </w:pPr>
            <w:r>
              <w:rPr>
                <w:sz w:val="19"/>
              </w:rPr>
              <w:t>Configure test environment (OS, browsers, test servers), verify build deployment sanity.</w:t>
            </w:r>
          </w:p>
        </w:tc>
      </w:tr>
      <w:tr>
        <w:tc>
          <w:tcPr>
            <w:tcW w:type="dxa" w:w="2880"/>
            <w:tcMar>
              <w:top w:w="60" w:type="dxa"/>
              <w:bottom w:w="60" w:type="dxa"/>
              <w:left w:w="100" w:type="dxa"/>
              <w:right w:w="100" w:type="dxa"/>
            </w:tcMar>
          </w:tcPr>
          <w:p>
            <w:pPr>
              <w:spacing w:after="0"/>
            </w:pPr>
            <w:r>
              <w:rPr>
                <w:sz w:val="19"/>
              </w:rPr>
              <w:t>Testing &amp; Verification</w:t>
            </w:r>
          </w:p>
        </w:tc>
        <w:tc>
          <w:tcPr>
            <w:tcW w:type="dxa" w:w="2880"/>
            <w:tcMar>
              <w:top w:w="60" w:type="dxa"/>
              <w:bottom w:w="60" w:type="dxa"/>
              <w:left w:w="100" w:type="dxa"/>
              <w:right w:w="100" w:type="dxa"/>
            </w:tcMar>
          </w:tcPr>
          <w:p>
            <w:pPr>
              <w:spacing w:after="0"/>
            </w:pPr>
            <w:r>
              <w:rPr>
                <w:sz w:val="19"/>
              </w:rPr>
              <w:t>Test Execution &amp; Defect Tracking</w:t>
            </w:r>
          </w:p>
        </w:tc>
        <w:tc>
          <w:tcPr>
            <w:tcW w:type="dxa" w:w="2880"/>
            <w:tcMar>
              <w:top w:w="60" w:type="dxa"/>
              <w:bottom w:w="60" w:type="dxa"/>
              <w:left w:w="100" w:type="dxa"/>
              <w:right w:w="100" w:type="dxa"/>
            </w:tcMar>
          </w:tcPr>
          <w:p>
            <w:pPr>
              <w:spacing w:after="0"/>
            </w:pPr>
            <w:r>
              <w:rPr>
                <w:sz w:val="19"/>
              </w:rPr>
              <w:t>Execute test cases (TC01-TC06), log defects in Bugzilla, verify fixes, run regression.</w:t>
            </w:r>
          </w:p>
        </w:tc>
      </w:tr>
      <w:tr>
        <w:tc>
          <w:tcPr>
            <w:tcW w:type="dxa" w:w="2880"/>
            <w:tcMar>
              <w:top w:w="60" w:type="dxa"/>
              <w:bottom w:w="60" w:type="dxa"/>
              <w:left w:w="100" w:type="dxa"/>
              <w:right w:w="100" w:type="dxa"/>
            </w:tcMar>
          </w:tcPr>
          <w:p>
            <w:pPr>
              <w:spacing w:after="0"/>
            </w:pPr>
            <w:r>
              <w:rPr>
                <w:sz w:val="19"/>
              </w:rPr>
              <w:t>Deployment &amp; Release</w:t>
            </w:r>
          </w:p>
        </w:tc>
        <w:tc>
          <w:tcPr>
            <w:tcW w:type="dxa" w:w="2880"/>
            <w:tcMar>
              <w:top w:w="60" w:type="dxa"/>
              <w:bottom w:w="60" w:type="dxa"/>
              <w:left w:w="100" w:type="dxa"/>
              <w:right w:w="100" w:type="dxa"/>
            </w:tcMar>
          </w:tcPr>
          <w:p>
            <w:pPr>
              <w:spacing w:after="0"/>
            </w:pPr>
            <w:r>
              <w:rPr>
                <w:sz w:val="19"/>
              </w:rPr>
              <w:t>Test Cycle Closure</w:t>
            </w:r>
          </w:p>
        </w:tc>
        <w:tc>
          <w:tcPr>
            <w:tcW w:type="dxa" w:w="2880"/>
            <w:tcMar>
              <w:top w:w="60" w:type="dxa"/>
              <w:bottom w:w="60" w:type="dxa"/>
              <w:left w:w="100" w:type="dxa"/>
              <w:right w:w="100" w:type="dxa"/>
            </w:tcMar>
          </w:tcPr>
          <w:p>
            <w:pPr>
              <w:spacing w:after="0"/>
            </w:pPr>
            <w:r>
              <w:rPr>
                <w:sz w:val="19"/>
              </w:rPr>
              <w:t>Evaluate exit criteria, compile Test Summary Report, analyze defect metrics, sign off.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