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30</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700</w:t>
            </w:r>
          </w:p>
        </w:tc>
        <w:tc>
          <w:tcPr>
            <w:tcW w:type="dxa" w:w="3118"/>
            <w:shd w:val="clear" w:fill="F4F7F5"/>
          </w:tcPr>
          <w:p>
            <w:pPr>
              <w:spacing w:before="80" w:after="20"/>
              <w:jc w:val="center"/>
            </w:pPr>
            <w:r>
              <w:rPr>
                <w:rFonts w:ascii="Poppins" w:hAnsi="Poppins"/>
                <w:b/>
                <w:color w:val="1AAB70"/>
                <w:sz w:val="15"/>
              </w:rPr>
              <w:t>DÉBIT</w:t>
            </w:r>
          </w:p>
          <w:p>
            <w:pPr>
              <w:spacing w:after="80"/>
              <w:jc w:val="center"/>
            </w:pPr>
            <w:r>
              <w:rPr>
                <w:rFonts w:ascii="Poppins" w:hAnsi="Poppins"/>
                <w:b/>
                <w:color w:val="1F5E3A"/>
                <w:sz w:val="22"/>
              </w:rPr>
              <w:t>~155 mots / min</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Slides 1 à 3  |  0:00 → 0:35</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160" w:line="336" w:lineRule="auto"/>
        <w:jc w:val="both"/>
      </w:pPr>
      <w:r>
        <w:rPr>
          <w:rFonts w:ascii="Poppins" w:hAnsi="Poppins"/>
          <w:b w:val="0"/>
          <w:i w:val="0"/>
          <w:color w:val="0A1A01"/>
          <w:sz w:val="22"/>
        </w:rPr>
        <w:t>Je voudrais commencer par une question toute simple. Au Sénégal, nous produisons d'excellents produits locaux : du jus de baobab, du fonio, de la pâte d'arachide, de la sauce bissap. Mais si ces produits ne sont pas visibles en ligne… comment donner envie de les consommer ?</w:t>
      </w:r>
    </w:p>
    <w:p>
      <w:pPr>
        <w:spacing w:before="0" w:after="240"/>
        <w:ind w:left="227"/>
        <w:pBdr>
          <w:left w:val="single" w:sz="12" w:space="6" w:color="9FB8A2"/>
        </w:pBdr>
      </w:pPr>
      <w:r>
        <w:rPr>
          <w:rFonts w:ascii="Poppins" w:hAnsi="Poppins"/>
          <w:i/>
          <w:color w:val="42612D"/>
          <w:sz w:val="17"/>
        </w:rPr>
        <w:t>Marquer une vraie pause de deux secondes après la question. Regarder le jury, ne pas enchaîner tout de suite.</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Contexte &amp; problématique</w:t>
            </w:r>
          </w:p>
        </w:tc>
        <w:tc>
          <w:tcPr>
            <w:tcW w:type="dxa" w:w="2381"/>
            <w:shd w:val="clear" w:fill="1F5E3A"/>
          </w:tcPr>
          <w:p>
            <w:pPr>
              <w:spacing w:before="60" w:after="60"/>
              <w:jc w:val="right"/>
            </w:pPr>
            <w:r>
              <w:rPr>
                <w:rFonts w:ascii="Poppins" w:hAnsi="Poppins"/>
                <w:b/>
                <w:color w:val="1AAB70"/>
                <w:sz w:val="17"/>
              </w:rPr>
              <w:t>Slide 2  |  0:35 → 1:10</w:t>
            </w:r>
          </w:p>
        </w:tc>
      </w:tr>
    </w:tbl>
    <w:p>
      <w:pPr>
        <w:spacing w:after="40"/>
      </w:pPr>
    </w:p>
    <w:p>
      <w:pPr>
        <w:spacing w:before="0" w:after="160" w:line="336" w:lineRule="auto"/>
        <w:jc w:val="both"/>
      </w:pPr>
      <w:r>
        <w:rPr>
          <w:rFonts w:ascii="Poppins" w:hAnsi="Poppins"/>
          <w:b w:val="0"/>
          <w:i w:val="0"/>
          <w:color w:val="0A1A01"/>
          <w:sz w:val="22"/>
        </w:rPr>
        <w:t>Regardons le contexte. Fin 2025, le Sénégal compte onze millions cinq cent mille internautes, soit plus de soixante pour cent de la population, et cinq millions quatre cent mille identités actives sur les réseaux sociaux. Nos concitoyens y passent en moyenne deux heures vingt-quatre par jour. Et soixante-trois pour cent des PMI industrielles du pays évoluent dans l'agroalimentaire.</w:t>
      </w:r>
    </w:p>
    <w:p>
      <w:pPr>
        <w:spacing w:before="0" w:after="160" w:line="336" w:lineRule="auto"/>
        <w:jc w:val="both"/>
      </w:pPr>
      <w:r>
        <w:rPr>
          <w:rFonts w:ascii="Poppins" w:hAnsi="Poppins"/>
          <w:b w:val="0"/>
          <w:i w:val="0"/>
          <w:color w:val="0A1A01"/>
          <w:sz w:val="22"/>
        </w:rPr>
        <w:t>Le marché est donc là. Pourtant les entreprises agroalimentaires font face à trois freins : une présence très faible sur les réseaux, un manque de stratégie — on publie sans objectif ni calendrier — et une visibilité qui ne convertit pas : des vues, parfois des likes, mais aucun client au bout.</w:t>
      </w:r>
    </w:p>
    <w:p>
      <w:pPr>
        <w:spacing w:before="0" w:after="160" w:line="336" w:lineRule="auto"/>
        <w:jc w:val="both"/>
      </w:pPr>
      <w:r>
        <w:rPr>
          <w:rFonts w:ascii="Poppins" w:hAnsi="Poppins"/>
          <w:b w:val="0"/>
          <w:i w:val="0"/>
          <w:color w:val="0A1A01"/>
          <w:sz w:val="22"/>
        </w:rPr>
        <w:t>Résultat : 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solution &amp; le marché</w:t>
            </w:r>
          </w:p>
        </w:tc>
        <w:tc>
          <w:tcPr>
            <w:tcW w:type="dxa" w:w="2381"/>
            <w:shd w:val="clear" w:fill="1F5E3A"/>
          </w:tcPr>
          <w:p>
            <w:pPr>
              <w:spacing w:before="60" w:after="60"/>
              <w:jc w:val="right"/>
            </w:pPr>
            <w:r>
              <w:rPr>
                <w:rFonts w:ascii="Poppins" w:hAnsi="Poppins"/>
                <w:b/>
                <w:color w:val="1AAB70"/>
                <w:sz w:val="17"/>
              </w:rPr>
              <w:t>Slides 4 et 5  |  1:10 → 1:55</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J'ai une licence en agronomie à l'UCAD, donc je connais le terrain, les producteurs, les contraintes du secteur. Et j'ai été formée sept semaines en design et community management à Simplon Sénégal. Cette combinaison, agriculture et digital,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stratégie TOMSTER</w:t>
            </w:r>
          </w:p>
        </w:tc>
        <w:tc>
          <w:tcPr>
            <w:tcW w:type="dxa" w:w="2381"/>
            <w:shd w:val="clear" w:fill="1F5E3A"/>
          </w:tcPr>
          <w:p>
            <w:pPr>
              <w:spacing w:before="60" w:after="60"/>
              <w:jc w:val="right"/>
            </w:pPr>
            <w:r>
              <w:rPr>
                <w:rFonts w:ascii="Poppins" w:hAnsi="Poppins"/>
                <w:b/>
                <w:color w:val="1AAB70"/>
                <w:sz w:val="17"/>
              </w:rPr>
              <w:t>Slides 6 à 13  |  1:55 → 2:50</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générale d'une PME de transformation de fruits et légumes à Dakar. Elle a de très bons produits, mais ni le temps ni les compétences pour les rendre visibles. C'est elle que j'ai en tête à chaque contenu que je produis.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complémentaires : TikTok attire, Facebook fédère, LinkedIn crédibilise et permet de prospecter. Je publie trois jours par semaine, et chaque mois je mesure la portée, les demandes et les contrats signés — puis j'ajuste.</w:t>
      </w:r>
    </w:p>
    <w:p>
      <w:pPr>
        <w:spacing w:before="0" w:after="240"/>
        <w:ind w:left="227"/>
        <w:pBdr>
          <w:left w:val="single" w:sz="12" w:space="6" w:color="9FB8A2"/>
        </w:pBdr>
      </w:pPr>
      <w:r>
        <w:rPr>
          <w:rFonts w:ascii="Poppins" w:hAnsi="Poppins"/>
          <w:i/>
          <w:color w:val="42612D"/>
          <w:sz w:val="17"/>
        </w:rPr>
        <w:t>Section dense : ne pas accélérer. Si le temps manque, supprimer la phrase sur les cinq piliers, pas les chiffres.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Modèle économique &amp; benchmark</w:t>
            </w:r>
          </w:p>
        </w:tc>
        <w:tc>
          <w:tcPr>
            <w:tcW w:type="dxa" w:w="2381"/>
            <w:shd w:val="clear" w:fill="1F5E3A"/>
          </w:tcPr>
          <w:p>
            <w:pPr>
              <w:spacing w:before="60" w:after="60"/>
              <w:jc w:val="right"/>
            </w:pPr>
            <w:r>
              <w:rPr>
                <w:rFonts w:ascii="Poppins" w:hAnsi="Poppins"/>
                <w:b/>
                <w:color w:val="1AAB70"/>
                <w:sz w:val="17"/>
              </w:rPr>
              <w:t>Slides 14 à 16  |  2:50 → 3:30</w:t>
            </w:r>
          </w:p>
        </w:tc>
      </w:tr>
    </w:tbl>
    <w:p>
      <w:pPr>
        <w:spacing w:after="40"/>
      </w:pPr>
    </w:p>
    <w:p>
      <w:pPr>
        <w:spacing w:before="0" w:after="160" w:line="336" w:lineRule="auto"/>
        <w:jc w:val="both"/>
      </w:pPr>
      <w:r>
        <w:rPr>
          <w:rFonts w:ascii="Poppins" w:hAnsi="Poppins"/>
          <w:b w:val="0"/>
          <w:i w:val="0"/>
          <w:color w:val="0A1A01"/>
          <w:sz w:val="22"/>
        </w:rPr>
        <w:t>Mon modèle repose sur l'abonnement mensuel : Essentiel à soixante-quinze mille francs, Pro à cent cinquante mille, Premium à deux cent cinquante mille, plus des prestations ponctuelles dès vingt-cinq mille.</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160" w:line="336" w:lineRule="auto"/>
        <w:jc w:val="both"/>
      </w:pPr>
      <w:r>
        <w:rPr>
          <w:rFonts w:ascii="Poppins" w:hAnsi="Poppins"/>
          <w:b w:val="0"/>
          <w:i w:val="0"/>
          <w:color w:val="0A1A01"/>
          <w:sz w:val="22"/>
        </w:rPr>
        <w:t>Face à la concurrence, ma différence tient en une phrase : je suis la seule à combiner expertise agronomique et maîtrise digitale. Les agences établies facturent de cent trente mille à six cent mille francs par mois : elles ont la méthode, mais aucune ne parle vraiment agro. Les freelances, entre cinquante et cent cinquante mille, ont les tarifs mais pas la stratégie. Je me positionne entre les deux, avec la spécialisation en plus.</w:t>
      </w:r>
    </w:p>
    <w:p>
      <w:pPr>
        <w:spacing w:before="0" w:after="240"/>
        <w:ind w:left="227"/>
        <w:pBdr>
          <w:left w:val="single" w:sz="12" w:space="6" w:color="9FB8A2"/>
        </w:pBdr>
      </w:pPr>
      <w:r>
        <w:rPr>
          <w:rFonts w:ascii="Poppins" w:hAnsi="Poppins"/>
          <w:i/>
          <w:color w:val="42612D"/>
          <w:sz w:val="17"/>
        </w:rPr>
        <w:t>Annoncer le seuil de rentabilité avec assurance, puis enchaîner sur le benchmark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Réalisations &amp; équipe</w:t>
            </w:r>
          </w:p>
        </w:tc>
        <w:tc>
          <w:tcPr>
            <w:tcW w:type="dxa" w:w="2381"/>
            <w:shd w:val="clear" w:fill="1F5E3A"/>
          </w:tcPr>
          <w:p>
            <w:pPr>
              <w:spacing w:before="60" w:after="60"/>
              <w:jc w:val="right"/>
            </w:pPr>
            <w:r>
              <w:rPr>
                <w:rFonts w:ascii="Poppins" w:hAnsi="Poppins"/>
                <w:b/>
                <w:color w:val="1AAB70"/>
                <w:sz w:val="17"/>
              </w:rPr>
              <w:t>Slides 17 à 20  |  3:30 → 4:05</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NINEA et registre de commerce. L'identité de marque est construite : logo, charte, bannière, carte de visite. Ma présence digitale est en place : site portfolio, LinkedIn, Facebook et Meta Business Suite. Je travaille avec Canva, CapCut et Trello.</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160" w:line="336" w:lineRule="auto"/>
        <w:jc w:val="both"/>
      </w:pPr>
      <w:r>
        <w:rPr>
          <w:rFonts w:ascii="Poppins" w:hAnsi="Poppins"/>
          <w:b w:val="0"/>
          <w:i w:val="0"/>
          <w:color w:val="0A1A01"/>
          <w:sz w:val="22"/>
        </w:rPr>
        <w:t>Aujourd'hui je porte l'activité seule. Dès le troisième client régulier, je m'entourerai de deux profils en freelance : une créatrice de contenu pour la production visuelle et vidéo, et un responsable commercial pour la prospection.</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L'appel à l'action</w:t>
            </w:r>
          </w:p>
        </w:tc>
        <w:tc>
          <w:tcPr>
            <w:tcW w:type="dxa" w:w="2381"/>
            <w:shd w:val="clear" w:fill="1F5E3A"/>
          </w:tcPr>
          <w:p>
            <w:pPr>
              <w:spacing w:before="60" w:after="60"/>
              <w:jc w:val="right"/>
            </w:pPr>
            <w:r>
              <w:rPr>
                <w:rFonts w:ascii="Poppins" w:hAnsi="Poppins"/>
                <w:b/>
                <w:color w:val="1AAB70"/>
                <w:sz w:val="17"/>
              </w:rPr>
              <w:t>Slide 21  |  4:05 → 4:30</w:t>
            </w:r>
          </w:p>
        </w:tc>
      </w:tr>
    </w:tbl>
    <w:p>
      <w:pPr>
        <w:spacing w:after="40"/>
      </w:pPr>
    </w:p>
    <w:p>
      <w:pPr>
        <w:spacing w:before="0" w:after="160" w:line="336" w:lineRule="auto"/>
        <w:jc w:val="both"/>
      </w:pPr>
      <w:r>
        <w:rPr>
          <w:rFonts w:ascii="Poppins" w:hAnsi="Poppins"/>
          <w:b w:val="0"/>
          <w:i w:val="0"/>
          <w:color w:val="0A1A01"/>
          <w:sz w:val="22"/>
        </w:rPr>
        <w:t>Pour franchir cette étape, je sollicite un million huit cent cinquante mille francs CFA : mes équipements de production, mes abonnements et outils sur douze mois, trois formations — analytics, marketing B2B et acquisition client — et 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Ne pas enchaîner sur autre chose — laisser le silence.</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11,5 M / 2 h 24</w:t>
            </w:r>
          </w:p>
        </w:tc>
        <w:tc>
          <w:tcPr>
            <w:tcW w:type="dxa" w:w="6576"/>
          </w:tcPr>
          <w:p>
            <w:pPr>
              <w:spacing w:before="60" w:after="60"/>
            </w:pPr>
            <w:r>
              <w:rPr>
                <w:rFonts w:ascii="Poppins" w:hAnsi="Poppins"/>
                <w:b w:val="0"/>
                <w:color w:val="0A1A01"/>
                <w:sz w:val="20"/>
              </w:rPr>
              <w:t>internautes sénégalais, usage quotidien</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