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SADIYA DIGITAL AGRI</w:t>
      </w:r>
    </w:p>
    <w:p>
      <w:pPr>
        <w:jc w:val="center"/>
      </w:pPr>
      <w:r>
        <w:rPr>
          <w:b/>
          <w:sz w:val="28"/>
        </w:rPr>
        <w:t>STRATÉGIE DIGITALE — MÉTHODE TOMSTER</w:t>
      </w:r>
    </w:p>
    <w:p>
      <w:pPr>
        <w:jc w:val="center"/>
      </w:pPr>
      <w:r>
        <w:rPr>
          <w:i/>
          <w:sz w:val="20"/>
        </w:rPr>
        <w:t>Projet de community management spécialisé dans l’agro-industrie sénégalaise</w:t>
      </w:r>
    </w:p>
    <w:p>
      <w:r>
        <w:rPr>
          <w:rFonts w:ascii="Arial" w:hAnsi="Arial"/>
          <w:b/>
          <w:sz w:val="26"/>
        </w:rPr>
        <w:t>1. Analyse de l’existant</w:t>
      </w:r>
    </w:p>
    <w:p>
      <w:r>
        <w:t>Sadiya Digital Agri dispose déjà d’une présence sur les principaux réseaux retenus : une page professionnelle LinkedIn créée à partir du compte personnel, un compte et une page Meta Business Suite sur Facebook, ainsi qu’un compte Instagram. La stratégie retenue pour le TP se concentre toutefois sur Facebook, LinkedIn et TikTok.</w:t>
      </w:r>
    </w:p>
    <w:p>
      <w:r>
        <w:rPr>
          <w:rFonts w:ascii="Arial" w:hAnsi="Arial"/>
          <w:b/>
          <w:sz w:val="22"/>
        </w:rPr>
        <w:t>Benchmark concurrentiel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Acteur</w:t>
            </w:r>
          </w:p>
        </w:tc>
        <w:tc>
          <w:tcPr>
            <w:tcW w:type="dxa" w:w="2556"/>
          </w:tcPr>
          <w:p>
            <w:r>
              <w:t>Offre / prix indicatifs</w:t>
            </w:r>
          </w:p>
        </w:tc>
        <w:tc>
          <w:tcPr>
            <w:tcW w:type="dxa" w:w="2556"/>
          </w:tcPr>
          <w:p>
            <w:r>
              <w:t>Réseaux</w:t>
            </w:r>
          </w:p>
        </w:tc>
        <w:tc>
          <w:tcPr>
            <w:tcW w:type="dxa" w:w="2556"/>
          </w:tcPr>
          <w:p>
            <w:r>
              <w:t>Positionnement</w:t>
            </w:r>
          </w:p>
        </w:tc>
      </w:tr>
      <w:tr>
        <w:tc>
          <w:tcPr>
            <w:tcW w:type="dxa" w:w="2556"/>
          </w:tcPr>
          <w:p>
            <w:r>
              <w:t>Agence Kolonell</w:t>
            </w:r>
          </w:p>
        </w:tc>
        <w:tc>
          <w:tcPr>
            <w:tcW w:type="dxa" w:w="2556"/>
          </w:tcPr>
          <w:p>
            <w:r>
              <w:t>Stratégie complète orientée ROI ; 250 000 à 600 000 FCFA/mois estimés pour une PME.</w:t>
            </w:r>
          </w:p>
        </w:tc>
        <w:tc>
          <w:tcPr>
            <w:tcW w:type="dxa" w:w="2556"/>
          </w:tcPr>
          <w:p>
            <w:r>
              <w:t>Facebook, Instagram, LinkedIn, WhatsApp Business</w:t>
            </w:r>
          </w:p>
        </w:tc>
        <w:tc>
          <w:tcPr>
            <w:tcW w:type="dxa" w:w="2556"/>
          </w:tcPr>
          <w:p>
            <w:r>
              <w:t>Expert, axé résultats et stratégie.</w:t>
            </w:r>
          </w:p>
        </w:tc>
      </w:tr>
      <w:tr>
        <w:tc>
          <w:tcPr>
            <w:tcW w:type="dxa" w:w="2556"/>
          </w:tcPr>
          <w:p>
            <w:r>
              <w:t>Agence WEDRAOGO</w:t>
            </w:r>
          </w:p>
        </w:tc>
        <w:tc>
          <w:tcPr>
            <w:tcW w:type="dxa" w:w="2556"/>
          </w:tcPr>
          <w:p>
            <w:r>
              <w:t>Packs progressifs ; à partir de 130 000 FCFA/mois (estimation du benchmark).</w:t>
            </w:r>
          </w:p>
        </w:tc>
        <w:tc>
          <w:tcPr>
            <w:tcW w:type="dxa" w:w="2556"/>
          </w:tcPr>
          <w:p>
            <w:r>
              <w:t>Facebook, Instagram</w:t>
            </w:r>
          </w:p>
        </w:tc>
        <w:tc>
          <w:tcPr>
            <w:tcW w:type="dxa" w:w="2556"/>
          </w:tcPr>
          <w:p>
            <w:r>
              <w:t>Professionnel, créatif et attractif.</w:t>
            </w:r>
          </w:p>
        </w:tc>
      </w:tr>
      <w:tr>
        <w:tc>
          <w:tcPr>
            <w:tcW w:type="dxa" w:w="2556"/>
          </w:tcPr>
          <w:p>
            <w:r>
              <w:t>CM Freelance généraliste</w:t>
            </w:r>
          </w:p>
        </w:tc>
        <w:tc>
          <w:tcPr>
            <w:tcW w:type="dxa" w:w="2556"/>
          </w:tcPr>
          <w:p>
            <w:r>
              <w:t>Gestion simple des posts et commentaires ; 50 000 à 150 000 FCFA/mois.</w:t>
            </w:r>
          </w:p>
        </w:tc>
        <w:tc>
          <w:tcPr>
            <w:tcW w:type="dxa" w:w="2556"/>
          </w:tcPr>
          <w:p>
            <w:r>
              <w:t>Facebook principalement</w:t>
            </w:r>
          </w:p>
        </w:tc>
        <w:tc>
          <w:tcPr>
            <w:tcW w:type="dxa" w:w="2556"/>
          </w:tcPr>
          <w:p>
            <w:r>
              <w:t>Plus généraliste et informel.</w:t>
            </w:r>
          </w:p>
        </w:tc>
      </w:tr>
    </w:tbl>
    <w:p>
      <w:r>
        <w:t>Ce que les concurrents font bien :</w:t>
      </w:r>
    </w:p>
    <w:p>
      <w:pPr>
        <w:pStyle w:val="ListBullet"/>
        <w:spacing w:after="40"/>
      </w:pPr>
      <w:r>
        <w:t>Ils vendent le résultat et la valeur créée, pas uniquement le nombre de publications.</w:t>
      </w:r>
    </w:p>
    <w:p>
      <w:pPr>
        <w:pStyle w:val="ListBullet"/>
        <w:spacing w:after="40"/>
      </w:pPr>
      <w:r>
        <w:t>Leurs offres sont structurées avec des prestations et des niveaux de service clairement définis.</w:t>
      </w:r>
    </w:p>
    <w:p>
      <w:r>
        <w:t>Opportunité pour Sadiya Digital Agri : se différencier par une double expertise agriculture + digital et une spécialisation sur les acteurs agroalimentaires sénégalais.</w:t>
      </w:r>
    </w:p>
    <w:p>
      <w:r>
        <w:rPr>
          <w:rFonts w:ascii="Arial" w:hAnsi="Arial"/>
          <w:b/>
          <w:sz w:val="22"/>
        </w:rPr>
        <w:t>SWOT</w:t>
      </w:r>
    </w:p>
    <w:tbl>
      <w:tblPr>
        <w:tblStyle w:val="TableGrid"/>
        <w:tblW w:type="auto" w:w="0"/>
        <w:tblLook w:firstColumn="1" w:firstRow="1" w:lastColumn="0" w:lastRow="0" w:noHBand="0" w:noVBand="1" w:val="04A0"/>
      </w:tblPr>
      <w:tblGrid>
        <w:gridCol w:w="5112"/>
        <w:gridCol w:w="5112"/>
      </w:tblGrid>
      <w:tr>
        <w:tc>
          <w:tcPr>
            <w:tcW w:type="dxa" w:w="5112"/>
          </w:tcPr>
          <w:p>
            <w:r>
              <w:t>FORCES — internes</w:t>
            </w:r>
          </w:p>
          <w:p>
            <w:r>
              <w:t>• Double expertise : agriculture + digital.</w:t>
              <w:br/>
              <w:t>• Agilité d’une structure légère.</w:t>
              <w:br/>
              <w:t>• Tarifs potentiellement compétitifs.</w:t>
            </w:r>
          </w:p>
        </w:tc>
        <w:tc>
          <w:tcPr>
            <w:tcW w:type="dxa" w:w="5112"/>
          </w:tcPr>
          <w:p>
            <w:r>
              <w:t>FAIBLESSES — internes</w:t>
            </w:r>
          </w:p>
          <w:p>
            <w:r>
              <w:t>• Notoriété à construire.</w:t>
              <w:br/>
              <w:t>• Portfolio de grands comptes encore limité.</w:t>
              <w:br/>
              <w:t>• Ressources de production limitées au démarrage.</w:t>
            </w:r>
          </w:p>
        </w:tc>
      </w:tr>
      <w:tr>
        <w:tc>
          <w:tcPr>
            <w:tcW w:type="dxa" w:w="5112"/>
          </w:tcPr>
          <w:p>
            <w:r>
              <w:t>OPPORTUNITÉS — externes</w:t>
            </w:r>
          </w:p>
          <w:p>
            <w:r>
              <w:t>• Dynamique de Consommer Local.</w:t>
              <w:br/>
              <w:t>• Digitalisation croissante des entreprises agroalimentaires.</w:t>
              <w:br/>
              <w:t>• Marché encore peu exploité pour la communication digitale spécialisée.</w:t>
            </w:r>
          </w:p>
        </w:tc>
        <w:tc>
          <w:tcPr>
            <w:tcW w:type="dxa" w:w="5112"/>
          </w:tcPr>
          <w:p>
            <w:r>
              <w:t>MENACES — externes</w:t>
            </w:r>
          </w:p>
          <w:p>
            <w:r>
              <w:t>• Concurrence des agences établies.</w:t>
              <w:br/>
              <w:t>• Budgets marketing parfois limités des PME.</w:t>
              <w:br/>
              <w:t>• Contraintes de connectivité pour certains contenus de terrain.</w:t>
            </w:r>
          </w:p>
        </w:tc>
      </w:tr>
    </w:tbl>
    <w:p>
      <w:r>
        <w:rPr>
          <w:rFonts w:ascii="Arial" w:hAnsi="Arial"/>
          <w:b/>
          <w:sz w:val="26"/>
        </w:rPr>
        <w:t>T · Target — La cible</w:t>
      </w:r>
    </w:p>
    <w:p>
      <w:r>
        <w:t>Question directrice : À qui est-ce que je m’adresse ?</w:t>
      </w:r>
    </w:p>
    <w:p>
      <w:r>
        <w:t>Cible principale : dirigeants et responsables communication/marketing des PME agroalimentaires sénégalaises qui produisent, transforment ou commercialisent des produits agricoles et souhaitent développer leur visibilité et leurs ventes grâce aux réseaux sociaux.</w:t>
      </w:r>
    </w:p>
    <w:p>
      <w:r>
        <w:t>Cible secondaire : grandes entreprises et industries agroalimentaires sénégalaises.</w:t>
      </w:r>
    </w:p>
    <w:p>
      <w:r>
        <w:rPr>
          <w:rFonts w:ascii="Arial" w:hAnsi="Arial"/>
          <w:b/>
          <w:sz w:val="22"/>
        </w:rPr>
        <w:t>Persona principal</w:t>
      </w:r>
    </w:p>
    <w:tbl>
      <w:tblPr>
        <w:tblStyle w:val="TableGrid"/>
        <w:tblW w:type="auto" w:w="0"/>
        <w:tblLook w:firstColumn="1" w:firstRow="1" w:lastColumn="0" w:lastRow="0" w:noHBand="0" w:noVBand="1" w:val="04A0"/>
      </w:tblPr>
      <w:tblGrid>
        <w:gridCol w:w="5112"/>
        <w:gridCol w:w="5112"/>
      </w:tblGrid>
      <w:tr>
        <w:tc>
          <w:tcPr>
            <w:tcW w:type="dxa" w:w="5112"/>
          </w:tcPr>
          <w:p>
            <w:r>
              <w:t>Prénom / âge</w:t>
            </w:r>
          </w:p>
        </w:tc>
        <w:tc>
          <w:tcPr>
            <w:tcW w:type="dxa" w:w="5112"/>
          </w:tcPr>
          <w:p>
            <w:r>
              <w:t>Aminata, 36 ans</w:t>
            </w:r>
          </w:p>
        </w:tc>
      </w:tr>
      <w:tr>
        <w:tc>
          <w:tcPr>
            <w:tcW w:type="dxa" w:w="5112"/>
          </w:tcPr>
          <w:p>
            <w:r>
              <w:t>Situation</w:t>
            </w:r>
          </w:p>
        </w:tc>
        <w:tc>
          <w:tcPr>
            <w:tcW w:type="dxa" w:w="5112"/>
          </w:tcPr>
          <w:p>
            <w:r>
              <w:t>Directrice générale d’une PME de transformation de fruits et légumes à Dakar</w:t>
            </w:r>
          </w:p>
        </w:tc>
      </w:tr>
      <w:tr>
        <w:tc>
          <w:tcPr>
            <w:tcW w:type="dxa" w:w="5112"/>
          </w:tcPr>
          <w:p>
            <w:r>
              <w:t>Besoins / envies</w:t>
            </w:r>
          </w:p>
        </w:tc>
        <w:tc>
          <w:tcPr>
            <w:tcW w:type="dxa" w:w="5112"/>
          </w:tcPr>
          <w:p>
            <w:r>
              <w:t>Faire connaître ses nouvelles gammes de jus locaux et rivaliser avec les marques étrangères.</w:t>
            </w:r>
          </w:p>
        </w:tc>
      </w:tr>
      <w:tr>
        <w:tc>
          <w:tcPr>
            <w:tcW w:type="dxa" w:w="5112"/>
          </w:tcPr>
          <w:p>
            <w:r>
              <w:t>Freins / craintes</w:t>
            </w:r>
          </w:p>
        </w:tc>
        <w:tc>
          <w:tcPr>
            <w:tcW w:type="dxa" w:w="5112"/>
          </w:tcPr>
          <w:p>
            <w:r>
              <w:t>Manque de temps et d’expertise interne pour maîtriser les codes des réseaux sociaux.</w:t>
            </w:r>
          </w:p>
        </w:tc>
      </w:tr>
      <w:tr>
        <w:tc>
          <w:tcPr>
            <w:tcW w:type="dxa" w:w="5112"/>
          </w:tcPr>
          <w:p>
            <w:r>
              <w:t>Réseaux utilisés</w:t>
            </w:r>
          </w:p>
        </w:tc>
        <w:tc>
          <w:tcPr>
            <w:tcW w:type="dxa" w:w="5112"/>
          </w:tcPr>
          <w:p>
            <w:r>
              <w:t>LinkedIn pour le réseau professionnel, Facebook pour les consommateurs, TikTok pour la visibilité.</w:t>
            </w:r>
          </w:p>
        </w:tc>
      </w:tr>
      <w:tr>
        <w:tc>
          <w:tcPr>
            <w:tcW w:type="dxa" w:w="5112"/>
          </w:tcPr>
          <w:p>
            <w:r>
              <w:t>Phrase résumé</w:t>
            </w:r>
          </w:p>
        </w:tc>
        <w:tc>
          <w:tcPr>
            <w:tcW w:type="dxa" w:w="5112"/>
          </w:tcPr>
          <w:p>
            <w:r>
              <w:t>Elle possède de bons produits locaux mais manque de temps et de compétences pour les rendre visibles en ligne.</w:t>
            </w:r>
          </w:p>
        </w:tc>
      </w:tr>
    </w:tbl>
    <w:p>
      <w:r>
        <w:t>Réponse de l’offre : Sadiya Digital Agri apporte une communication digitale spécialisée qui comprend les réalités de l’agroalimentaire et transforme les produits locaux en contenus visibles, crédibles et attractifs.</w:t>
      </w:r>
    </w:p>
    <w:p>
      <w:r>
        <w:rPr>
          <w:rFonts w:ascii="Arial" w:hAnsi="Arial"/>
          <w:b/>
          <w:sz w:val="26"/>
        </w:rPr>
        <w:t>O · Objectives — Les objectifs</w:t>
      </w:r>
    </w:p>
    <w:p>
      <w:r>
        <w:t>Question directrice : Qu’est-ce que je veux accomplir ?</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Objectif</w:t>
            </w:r>
          </w:p>
        </w:tc>
        <w:tc>
          <w:tcPr>
            <w:tcW w:type="dxa" w:w="2045"/>
          </w:tcPr>
          <w:p>
            <w:r>
              <w:t>Spécifique</w:t>
            </w:r>
          </w:p>
        </w:tc>
        <w:tc>
          <w:tcPr>
            <w:tcW w:type="dxa" w:w="2045"/>
          </w:tcPr>
          <w:p>
            <w:r>
              <w:t>Mesurable</w:t>
            </w:r>
          </w:p>
        </w:tc>
        <w:tc>
          <w:tcPr>
            <w:tcW w:type="dxa" w:w="2045"/>
          </w:tcPr>
          <w:p>
            <w:r>
              <w:t>Atteignable / réaliste</w:t>
            </w:r>
          </w:p>
        </w:tc>
        <w:tc>
          <w:tcPr>
            <w:tcW w:type="dxa" w:w="2045"/>
          </w:tcPr>
          <w:p>
            <w:r>
              <w:t>Échéance</w:t>
            </w:r>
          </w:p>
        </w:tc>
      </w:tr>
      <w:tr>
        <w:tc>
          <w:tcPr>
            <w:tcW w:type="dxa" w:w="2045"/>
          </w:tcPr>
          <w:p>
            <w:r>
              <w:t>1 — Notoriété</w:t>
            </w:r>
          </w:p>
        </w:tc>
        <w:tc>
          <w:tcPr>
            <w:tcW w:type="dxa" w:w="2045"/>
          </w:tcPr>
          <w:p>
            <w:r>
              <w:t>Faire connaître Sadiya Digital Agri auprès des PME agroalimentaires sénégalaises.</w:t>
            </w:r>
          </w:p>
        </w:tc>
        <w:tc>
          <w:tcPr>
            <w:tcW w:type="dxa" w:w="2045"/>
          </w:tcPr>
          <w:p>
            <w:r>
              <w:t>Atteindre 500 abonnés qualifiés sur Facebook, LinkedIn et TikTok.</w:t>
            </w:r>
          </w:p>
        </w:tc>
        <w:tc>
          <w:tcPr>
            <w:tcW w:type="dxa" w:w="2045"/>
          </w:tcPr>
          <w:p>
            <w:r>
              <w:t>Publier régulièrement des contenus spécialisés et pédagogiques.</w:t>
            </w:r>
          </w:p>
        </w:tc>
        <w:tc>
          <w:tcPr>
            <w:tcW w:type="dxa" w:w="2045"/>
          </w:tcPr>
          <w:p>
            <w:r>
              <w:t>3 premiers mois</w:t>
            </w:r>
          </w:p>
        </w:tc>
      </w:tr>
      <w:tr>
        <w:tc>
          <w:tcPr>
            <w:tcW w:type="dxa" w:w="2045"/>
          </w:tcPr>
          <w:p>
            <w:r>
              <w:t>2 — Prospection</w:t>
            </w:r>
          </w:p>
        </w:tc>
        <w:tc>
          <w:tcPr>
            <w:tcW w:type="dxa" w:w="2045"/>
          </w:tcPr>
          <w:p>
            <w:r>
              <w:t>Générer des prospects intéressés par les services de Sadiya Digital Agri.</w:t>
            </w:r>
          </w:p>
        </w:tc>
        <w:tc>
          <w:tcPr>
            <w:tcW w:type="dxa" w:w="2045"/>
          </w:tcPr>
          <w:p>
            <w:r>
              <w:t>Obtenir 30 demandes de renseignements qualifiées.</w:t>
            </w:r>
          </w:p>
        </w:tc>
        <w:tc>
          <w:tcPr>
            <w:tcW w:type="dxa" w:w="2045"/>
          </w:tcPr>
          <w:p>
            <w:r>
              <w:t>Contenus éducatifs, études de cas, offres et CTA ciblés.</w:t>
            </w:r>
          </w:p>
        </w:tc>
        <w:tc>
          <w:tcPr>
            <w:tcW w:type="dxa" w:w="2045"/>
          </w:tcPr>
          <w:p>
            <w:r>
              <w:t>6 mois</w:t>
            </w:r>
          </w:p>
        </w:tc>
      </w:tr>
      <w:tr>
        <w:tc>
          <w:tcPr>
            <w:tcW w:type="dxa" w:w="2045"/>
          </w:tcPr>
          <w:p>
            <w:r>
              <w:t>3 — Conversion</w:t>
            </w:r>
          </w:p>
        </w:tc>
        <w:tc>
          <w:tcPr>
            <w:tcW w:type="dxa" w:w="2045"/>
          </w:tcPr>
          <w:p>
            <w:r>
              <w:t>Transformer les prospects en clients.</w:t>
            </w:r>
          </w:p>
        </w:tc>
        <w:tc>
          <w:tcPr>
            <w:tcW w:type="dxa" w:w="2045"/>
          </w:tcPr>
          <w:p>
            <w:r>
              <w:t>Signer 5 premiers contrats avec des entreprises agroalimentaires.</w:t>
            </w:r>
          </w:p>
        </w:tc>
        <w:tc>
          <w:tcPr>
            <w:tcW w:type="dxa" w:w="2045"/>
          </w:tcPr>
          <w:p>
            <w:r>
              <w:t>Offres adaptées aux besoins et budgets des PME + suivi personnalisé.</w:t>
            </w:r>
          </w:p>
        </w:tc>
        <w:tc>
          <w:tcPr>
            <w:tcW w:type="dxa" w:w="2045"/>
          </w:tcPr>
          <w:p>
            <w:r>
              <w:t>6 mois</w:t>
            </w:r>
          </w:p>
        </w:tc>
      </w:tr>
    </w:tbl>
    <w:p>
      <w:r>
        <w:rPr>
          <w:rFonts w:ascii="Arial" w:hAnsi="Arial"/>
          <w:b/>
          <w:sz w:val="26"/>
        </w:rPr>
        <w:t>M · Message — Le message</w:t>
      </w:r>
    </w:p>
    <w:p>
      <w:r>
        <w:t>Question directrice : Qu’est-ce que je veux dire, et comment ?</w:t>
      </w:r>
    </w:p>
    <w:p>
      <w:r>
        <w:t>Positionnement : Sadiya Digital Agri veut être perçue comme une agence spécialisée qui combine expertise agricole et maîtrise digitale pour aider les entreprises agroalimentaires sénégalaises à mieux valoriser leurs produits.</w:t>
      </w:r>
    </w:p>
    <w:p>
      <w:r>
        <w:t>Proposition de valeur : « Sadiya Digital Agri aide les entreprises agroalimentaires sénégalaises à rendre leurs produits locaux plus visibles et plus attractifs grâce à une communication digitale adaptée à leur secteur. »</w:t>
      </w:r>
    </w:p>
    <w:p>
      <w:pPr>
        <w:pStyle w:val="ListBullet"/>
        <w:spacing w:after="40"/>
      </w:pPr>
      <w:r>
        <w:t>« Sadiya Digital Agri comprend à la fois l’agriculture et le digital. »</w:t>
      </w:r>
    </w:p>
    <w:p>
      <w:pPr>
        <w:pStyle w:val="ListBullet"/>
        <w:spacing w:after="40"/>
      </w:pPr>
      <w:r>
        <w:t>« Les produits cultivés et transformés au Sénégal méritent d’être aussi visibles en ligne qu’ils le sont dans les rayons. »</w:t>
      </w:r>
    </w:p>
    <w:p>
      <w:pPr>
        <w:pStyle w:val="ListBullet"/>
        <w:spacing w:after="40"/>
      </w:pPr>
      <w:r>
        <w:t>« Nous transformons votre présence sur les réseaux sociaux en visibilité, communauté et opportunités commerciales. »</w:t>
      </w:r>
    </w:p>
    <w:p>
      <w:r>
        <w:rPr>
          <w:rFonts w:ascii="Arial" w:hAnsi="Arial"/>
          <w:b/>
          <w:sz w:val="26"/>
        </w:rPr>
        <w:t>S · Strategy — La stratégie</w:t>
      </w:r>
    </w:p>
    <w:p>
      <w:r>
        <w:t>Question directrice : Quelle approche globale pour atteindre mes objectifs ?</w:t>
      </w:r>
    </w:p>
    <w:tbl>
      <w:tblPr>
        <w:tblStyle w:val="TableGrid"/>
        <w:tblW w:type="auto" w:w="0"/>
        <w:tblLook w:firstColumn="1" w:firstRow="1" w:lastColumn="0" w:lastRow="0" w:noHBand="0" w:noVBand="1" w:val="04A0"/>
      </w:tblPr>
      <w:tblGrid>
        <w:gridCol w:w="3408"/>
        <w:gridCol w:w="3408"/>
        <w:gridCol w:w="3408"/>
      </w:tblGrid>
      <w:tr>
        <w:tc>
          <w:tcPr>
            <w:tcW w:type="dxa" w:w="3408"/>
          </w:tcPr>
          <w:p>
            <w:r>
              <w:t>Réseau</w:t>
            </w:r>
          </w:p>
        </w:tc>
        <w:tc>
          <w:tcPr>
            <w:tcW w:type="dxa" w:w="3408"/>
          </w:tcPr>
          <w:p>
            <w:r>
              <w:t>Pourquoi ?</w:t>
            </w:r>
          </w:p>
        </w:tc>
        <w:tc>
          <w:tcPr>
            <w:tcW w:type="dxa" w:w="3408"/>
          </w:tcPr>
          <w:p>
            <w:r>
              <w:t>Rôle</w:t>
            </w:r>
          </w:p>
        </w:tc>
      </w:tr>
      <w:tr>
        <w:tc>
          <w:tcPr>
            <w:tcW w:type="dxa" w:w="3408"/>
          </w:tcPr>
          <w:p>
            <w:r>
              <w:t>Facebook</w:t>
            </w:r>
          </w:p>
        </w:tc>
        <w:tc>
          <w:tcPr>
            <w:tcW w:type="dxa" w:w="3408"/>
          </w:tcPr>
          <w:p>
            <w:r>
              <w:t>Présence des PME, entrepreneurs et acteurs agricoles ; facilite la création d’une communauté.</w:t>
            </w:r>
          </w:p>
        </w:tc>
        <w:tc>
          <w:tcPr>
            <w:tcW w:type="dxa" w:w="3408"/>
          </w:tcPr>
          <w:p>
            <w:r>
              <w:t>Réseau principal : informer, éduquer, présenter les services et créer une communauté.</w:t>
            </w:r>
          </w:p>
        </w:tc>
      </w:tr>
      <w:tr>
        <w:tc>
          <w:tcPr>
            <w:tcW w:type="dxa" w:w="3408"/>
          </w:tcPr>
          <w:p>
            <w:r>
              <w:t>LinkedIn</w:t>
            </w:r>
          </w:p>
        </w:tc>
        <w:tc>
          <w:tcPr>
            <w:tcW w:type="dxa" w:w="3408"/>
          </w:tcPr>
          <w:p>
            <w:r>
              <w:t>Permet de toucher dirigeants, responsables marketing, partenaires et professionnels.</w:t>
            </w:r>
          </w:p>
        </w:tc>
        <w:tc>
          <w:tcPr>
            <w:tcW w:type="dxa" w:w="3408"/>
          </w:tcPr>
          <w:p>
            <w:r>
              <w:t>Réseau B2B : crédibilité, expertise et opportunités professionnelles.</w:t>
            </w:r>
          </w:p>
        </w:tc>
      </w:tr>
      <w:tr>
        <w:tc>
          <w:tcPr>
            <w:tcW w:type="dxa" w:w="3408"/>
          </w:tcPr>
          <w:p>
            <w:r>
              <w:t>TikTok</w:t>
            </w:r>
          </w:p>
        </w:tc>
        <w:tc>
          <w:tcPr>
            <w:tcW w:type="dxa" w:w="3408"/>
          </w:tcPr>
          <w:p>
            <w:r>
              <w:t>Vidéo courte et dynamique pour élargir la portée et rendre l’agriculture/digital accessibles.</w:t>
            </w:r>
          </w:p>
        </w:tc>
        <w:tc>
          <w:tcPr>
            <w:tcW w:type="dxa" w:w="3408"/>
          </w:tcPr>
          <w:p>
            <w:r>
              <w:t>Réseau de visibilité : conseils, pédagogie, valorisation et contenus attractifs.</w:t>
            </w:r>
          </w:p>
        </w:tc>
      </w:tr>
    </w:tbl>
    <w:p>
      <w:r>
        <w:t>Logique du parcours : TikTok attire l’attention → Facebook crée la communauté et présente l’offre → LinkedIn renforce la crédibilité et facilite la prospection → contact privé pour convertir.</w:t>
      </w:r>
    </w:p>
    <w:p>
      <w:r>
        <w:rPr>
          <w:rFonts w:ascii="Arial" w:hAnsi="Arial"/>
          <w:b/>
          <w:sz w:val="22"/>
        </w:rPr>
        <w:t>Identité visuelle et ligne éditoriale</w:t>
      </w:r>
    </w:p>
    <w:p>
      <w:pPr>
        <w:pStyle w:val="ListBullet"/>
        <w:spacing w:after="40"/>
      </w:pPr>
      <w:r>
        <w:t>Couleur dominante : vert forêt #1E5E3A ; accent : jaune safran #FFB800 ; fond : crème #F4F7F5.</w:t>
      </w:r>
    </w:p>
    <w:p>
      <w:pPr>
        <w:pStyle w:val="ListBullet"/>
        <w:spacing w:after="40"/>
      </w:pPr>
      <w:r>
        <w:t>Typographies : Arvo Bold pour « Sadiya » et Poppins pour « Digital Agri ».</w:t>
      </w:r>
    </w:p>
    <w:p>
      <w:pPr>
        <w:pStyle w:val="ListBullet"/>
        <w:spacing w:after="40"/>
      </w:pPr>
      <w:r>
        <w:t>Style : épuré, organique, chaleureux, avec un lien visuel entre agriculture et digital.</w:t>
      </w:r>
    </w:p>
    <w:tbl>
      <w:tblPr>
        <w:tblStyle w:val="TableGrid"/>
        <w:tblW w:type="auto" w:w="0"/>
        <w:tblLook w:firstColumn="1" w:firstRow="1" w:lastColumn="0" w:lastRow="0" w:noHBand="0" w:noVBand="1" w:val="04A0"/>
      </w:tblPr>
      <w:tblGrid>
        <w:gridCol w:w="3408"/>
        <w:gridCol w:w="3408"/>
        <w:gridCol w:w="3408"/>
      </w:tblGrid>
      <w:tr>
        <w:tc>
          <w:tcPr>
            <w:tcW w:type="dxa" w:w="3408"/>
          </w:tcPr>
          <w:p>
            <w:r>
              <w:t>Pilier</w:t>
            </w:r>
          </w:p>
        </w:tc>
        <w:tc>
          <w:tcPr>
            <w:tcW w:type="dxa" w:w="3408"/>
          </w:tcPr>
          <w:p>
            <w:r>
              <w:t>Contenu</w:t>
            </w:r>
          </w:p>
        </w:tc>
        <w:tc>
          <w:tcPr>
            <w:tcW w:type="dxa" w:w="3408"/>
          </w:tcPr>
          <w:p>
            <w:r>
              <w:t>Exemple</w:t>
            </w:r>
          </w:p>
        </w:tc>
      </w:tr>
      <w:tr>
        <w:tc>
          <w:tcPr>
            <w:tcW w:type="dxa" w:w="3408"/>
          </w:tcPr>
          <w:p>
            <w:r>
              <w:t>🌱 Éducation</w:t>
            </w:r>
          </w:p>
        </w:tc>
        <w:tc>
          <w:tcPr>
            <w:tcW w:type="dxa" w:w="3408"/>
          </w:tcPr>
          <w:p>
            <w:r>
              <w:t>Conseils sur le digital et la communication agricole.</w:t>
            </w:r>
          </w:p>
        </w:tc>
        <w:tc>
          <w:tcPr>
            <w:tcW w:type="dxa" w:w="3408"/>
          </w:tcPr>
          <w:p>
            <w:r>
              <w:t>5 erreurs qui empêchent une entreprise agricole de vendre sur Facebook.</w:t>
            </w:r>
          </w:p>
        </w:tc>
      </w:tr>
      <w:tr>
        <w:tc>
          <w:tcPr>
            <w:tcW w:type="dxa" w:w="3408"/>
          </w:tcPr>
          <w:p>
            <w:r>
              <w:t>🚜 Valorisation du secteur</w:t>
            </w:r>
          </w:p>
        </w:tc>
        <w:tc>
          <w:tcPr>
            <w:tcW w:type="dxa" w:w="3408"/>
          </w:tcPr>
          <w:p>
            <w:r>
              <w:t>Producteurs, agriculture et produits locaux.</w:t>
            </w:r>
          </w:p>
        </w:tc>
        <w:tc>
          <w:tcPr>
            <w:tcW w:type="dxa" w:w="3408"/>
          </w:tcPr>
          <w:p>
            <w:r>
              <w:t>Du champ à l’assiette : comment un produit est transformé.</w:t>
            </w:r>
          </w:p>
        </w:tc>
      </w:tr>
      <w:tr>
        <w:tc>
          <w:tcPr>
            <w:tcW w:type="dxa" w:w="3408"/>
          </w:tcPr>
          <w:p>
            <w:r>
              <w:t>📱 Expertise Sadiya</w:t>
            </w:r>
          </w:p>
        </w:tc>
        <w:tc>
          <w:tcPr>
            <w:tcW w:type="dxa" w:w="3408"/>
          </w:tcPr>
          <w:p>
            <w:r>
              <w:t>Community management et marketing.</w:t>
            </w:r>
          </w:p>
        </w:tc>
        <w:tc>
          <w:tcPr>
            <w:tcW w:type="dxa" w:w="3408"/>
          </w:tcPr>
          <w:p>
            <w:r>
              <w:t>Comment créer une vidéo qui présente efficacement un produit ?</w:t>
            </w:r>
          </w:p>
        </w:tc>
      </w:tr>
      <w:tr>
        <w:tc>
          <w:tcPr>
            <w:tcW w:type="dxa" w:w="3408"/>
          </w:tcPr>
          <w:p>
            <w:r>
              <w:t>💼 Offres &amp; résultats</w:t>
            </w:r>
          </w:p>
        </w:tc>
        <w:tc>
          <w:tcPr>
            <w:tcW w:type="dxa" w:w="3408"/>
          </w:tcPr>
          <w:p>
            <w:r>
              <w:t>Services, réalisations et études de cas.</w:t>
            </w:r>
          </w:p>
        </w:tc>
        <w:tc>
          <w:tcPr>
            <w:tcW w:type="dxa" w:w="3408"/>
          </w:tcPr>
          <w:p>
            <w:r>
              <w:t>Comment améliorer la présence digitale d’une marque.</w:t>
            </w:r>
          </w:p>
        </w:tc>
      </w:tr>
      <w:tr>
        <w:tc>
          <w:tcPr>
            <w:tcW w:type="dxa" w:w="3408"/>
          </w:tcPr>
          <w:p>
            <w:r>
              <w:t>🤝 Humanisation &amp; communauté</w:t>
            </w:r>
          </w:p>
        </w:tc>
        <w:tc>
          <w:tcPr>
            <w:tcW w:type="dxa" w:w="3408"/>
          </w:tcPr>
          <w:p>
            <w:r>
              <w:t>Coulisses, valeurs et interactions.</w:t>
            </w:r>
          </w:p>
        </w:tc>
        <w:tc>
          <w:tcPr>
            <w:tcW w:type="dxa" w:w="3408"/>
          </w:tcPr>
          <w:p>
            <w:r>
              <w:t>Pourquoi travailler avec les acteurs de l’agro-industrie ?</w:t>
            </w:r>
          </w:p>
        </w:tc>
      </w:tr>
    </w:tbl>
    <w:p>
      <w:r>
        <w:t>Ton de voix : professionnel, chaleureux, pédagogique et dynamique. Sadiya Digital Agri n’utilise pas un langage inutilement complexe, ne promet pas de résultats irréalistes et n’adopte pas un ton agressif.</w:t>
      </w:r>
    </w:p>
    <w:p>
      <w:r>
        <w:rPr>
          <w:rFonts w:ascii="Arial" w:hAnsi="Arial"/>
          <w:b/>
          <w:sz w:val="26"/>
        </w:rPr>
        <w:t>T · Tactics — Les tactiques</w:t>
      </w:r>
    </w:p>
    <w:p>
      <w:r>
        <w:t>Question directrice : Quelles actions concrètes vais-je mener ?</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Réseau</w:t>
            </w:r>
          </w:p>
        </w:tc>
        <w:tc>
          <w:tcPr>
            <w:tcW w:type="dxa" w:w="2556"/>
          </w:tcPr>
          <w:p>
            <w:r>
              <w:t>Types de contenus</w:t>
            </w:r>
          </w:p>
        </w:tc>
        <w:tc>
          <w:tcPr>
            <w:tcW w:type="dxa" w:w="2556"/>
          </w:tcPr>
          <w:p>
            <w:r>
              <w:t>Formats privilégiés</w:t>
            </w:r>
          </w:p>
        </w:tc>
        <w:tc>
          <w:tcPr>
            <w:tcW w:type="dxa" w:w="2556"/>
          </w:tcPr>
          <w:p>
            <w:r>
              <w:t>Objectif</w:t>
            </w:r>
          </w:p>
        </w:tc>
      </w:tr>
      <w:tr>
        <w:tc>
          <w:tcPr>
            <w:tcW w:type="dxa" w:w="2556"/>
          </w:tcPr>
          <w:p>
            <w:r>
              <w:t>Facebook</w:t>
            </w:r>
          </w:p>
        </w:tc>
        <w:tc>
          <w:tcPr>
            <w:tcW w:type="dxa" w:w="2556"/>
          </w:tcPr>
          <w:p>
            <w:r>
              <w:t>Posts éducatifs, carrousels, vidéos, stories, témoignages</w:t>
            </w:r>
          </w:p>
        </w:tc>
        <w:tc>
          <w:tcPr>
            <w:tcW w:type="dxa" w:w="2556"/>
          </w:tcPr>
          <w:p>
            <w:r>
              <w:t>Carrousel, vidéo courte, image + texte, story</w:t>
            </w:r>
          </w:p>
        </w:tc>
        <w:tc>
          <w:tcPr>
            <w:tcW w:type="dxa" w:w="2556"/>
          </w:tcPr>
          <w:p>
            <w:r>
              <w:t>Visibilité, information et communauté</w:t>
            </w:r>
          </w:p>
        </w:tc>
      </w:tr>
      <w:tr>
        <w:tc>
          <w:tcPr>
            <w:tcW w:type="dxa" w:w="2556"/>
          </w:tcPr>
          <w:p>
            <w:r>
              <w:t>LinkedIn</w:t>
            </w:r>
          </w:p>
        </w:tc>
        <w:tc>
          <w:tcPr>
            <w:tcW w:type="dxa" w:w="2556"/>
          </w:tcPr>
          <w:p>
            <w:r>
              <w:t>Conseils, études de cas, réalisations, actualités sectorielles</w:t>
            </w:r>
          </w:p>
        </w:tc>
        <w:tc>
          <w:tcPr>
            <w:tcW w:type="dxa" w:w="2556"/>
          </w:tcPr>
          <w:p>
            <w:r>
              <w:t>Post professionnel, carrousel, infographie</w:t>
            </w:r>
          </w:p>
        </w:tc>
        <w:tc>
          <w:tcPr>
            <w:tcW w:type="dxa" w:w="2556"/>
          </w:tcPr>
          <w:p>
            <w:r>
              <w:t>Crédibilité et prospects B2B</w:t>
            </w:r>
          </w:p>
        </w:tc>
      </w:tr>
      <w:tr>
        <w:tc>
          <w:tcPr>
            <w:tcW w:type="dxa" w:w="2556"/>
          </w:tcPr>
          <w:p>
            <w:r>
              <w:t>TikTok</w:t>
            </w:r>
          </w:p>
        </w:tc>
        <w:tc>
          <w:tcPr>
            <w:tcW w:type="dxa" w:w="2556"/>
          </w:tcPr>
          <w:p>
            <w:r>
              <w:t>Astuces, coulisses, conseils rapides, tendances, démonstrations</w:t>
            </w:r>
          </w:p>
        </w:tc>
        <w:tc>
          <w:tcPr>
            <w:tcW w:type="dxa" w:w="2556"/>
          </w:tcPr>
          <w:p>
            <w:r>
              <w:t>Vidéo courte 15–60 secondes</w:t>
            </w:r>
          </w:p>
        </w:tc>
        <w:tc>
          <w:tcPr>
            <w:tcW w:type="dxa" w:w="2556"/>
          </w:tcPr>
          <w:p>
            <w:r>
              <w:t>Portée et visibilité</w:t>
            </w:r>
          </w:p>
        </w:tc>
      </w:tr>
    </w:tbl>
    <w:p>
      <w:r>
        <w:rPr>
          <w:rFonts w:ascii="Arial" w:hAnsi="Arial"/>
          <w:b/>
          <w:sz w:val="22"/>
        </w:rPr>
        <w:t>Calendrier éditorial — 3 jours de publication par semaine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Jour</w:t>
            </w:r>
          </w:p>
        </w:tc>
        <w:tc>
          <w:tcPr>
            <w:tcW w:type="dxa" w:w="2045"/>
          </w:tcPr>
          <w:p>
            <w:r>
              <w:t>Réseau</w:t>
            </w:r>
          </w:p>
        </w:tc>
        <w:tc>
          <w:tcPr>
            <w:tcW w:type="dxa" w:w="2045"/>
          </w:tcPr>
          <w:p>
            <w:r>
              <w:t>Contenu</w:t>
            </w:r>
          </w:p>
        </w:tc>
        <w:tc>
          <w:tcPr>
            <w:tcW w:type="dxa" w:w="2045"/>
          </w:tcPr>
          <w:p>
            <w:r>
              <w:t>Pilier / thème</w:t>
            </w:r>
          </w:p>
        </w:tc>
        <w:tc>
          <w:tcPr>
            <w:tcW w:type="dxa" w:w="2045"/>
          </w:tcPr>
          <w:p>
            <w:r>
              <w:t>Objectif</w:t>
            </w:r>
          </w:p>
        </w:tc>
      </w:tr>
      <w:tr>
        <w:tc>
          <w:tcPr>
            <w:tcW w:type="dxa" w:w="2045"/>
          </w:tcPr>
          <w:p>
            <w:r>
              <w:t>Mardi</w:t>
            </w:r>
          </w:p>
        </w:tc>
        <w:tc>
          <w:tcPr>
            <w:tcW w:type="dxa" w:w="2045"/>
          </w:tcPr>
          <w:p>
            <w:r>
              <w:t>LinkedIn + Facebook</w:t>
            </w:r>
          </w:p>
        </w:tc>
        <w:tc>
          <w:tcPr>
            <w:tcW w:type="dxa" w:w="2045"/>
          </w:tcPr>
          <w:p>
            <w:r>
              <w:t>Post + visuel</w:t>
            </w:r>
          </w:p>
        </w:tc>
        <w:tc>
          <w:tcPr>
            <w:tcW w:type="dxa" w:w="2045"/>
          </w:tcPr>
          <w:p>
            <w:r>
              <w:t>Expertise : conseil en communication digitale agro-industrielle</w:t>
            </w:r>
          </w:p>
        </w:tc>
        <w:tc>
          <w:tcPr>
            <w:tcW w:type="dxa" w:w="2045"/>
          </w:tcPr>
          <w:p>
            <w:r>
              <w:t>Crédibilité</w:t>
            </w:r>
          </w:p>
        </w:tc>
      </w:tr>
      <w:tr>
        <w:tc>
          <w:tcPr>
            <w:tcW w:type="dxa" w:w="2045"/>
          </w:tcPr>
          <w:p>
            <w:r>
              <w:t>Vendredi</w:t>
            </w:r>
          </w:p>
        </w:tc>
        <w:tc>
          <w:tcPr>
            <w:tcW w:type="dxa" w:w="2045"/>
          </w:tcPr>
          <w:p>
            <w:r>
              <w:t>Facebook + TikTok</w:t>
            </w:r>
          </w:p>
        </w:tc>
        <w:tc>
          <w:tcPr>
            <w:tcW w:type="dxa" w:w="2045"/>
          </w:tcPr>
          <w:p>
            <w:r>
              <w:t>Carrousel Facebook + vidéo courte TikTok</w:t>
            </w:r>
          </w:p>
        </w:tc>
        <w:tc>
          <w:tcPr>
            <w:tcW w:type="dxa" w:w="2045"/>
          </w:tcPr>
          <w:p>
            <w:r>
              <w:t>Éducation / valorisation : erreurs, conseils ou produit local</w:t>
            </w:r>
          </w:p>
        </w:tc>
        <w:tc>
          <w:tcPr>
            <w:tcW w:type="dxa" w:w="2045"/>
          </w:tcPr>
          <w:p>
            <w:r>
              <w:t>Engagement + visibilité</w:t>
            </w:r>
          </w:p>
        </w:tc>
      </w:tr>
      <w:tr>
        <w:tc>
          <w:tcPr>
            <w:tcW w:type="dxa" w:w="2045"/>
          </w:tcPr>
          <w:p>
            <w:r>
              <w:t>Dimanche</w:t>
            </w:r>
          </w:p>
        </w:tc>
        <w:tc>
          <w:tcPr>
            <w:tcW w:type="dxa" w:w="2045"/>
          </w:tcPr>
          <w:p>
            <w:r>
              <w:t>LinkedIn + TikTok</w:t>
            </w:r>
          </w:p>
        </w:tc>
        <w:tc>
          <w:tcPr>
            <w:tcW w:type="dxa" w:w="2045"/>
          </w:tcPr>
          <w:p>
            <w:r>
              <w:t>Storytelling / étude de cas + vidéo courte</w:t>
            </w:r>
          </w:p>
        </w:tc>
        <w:tc>
          <w:tcPr>
            <w:tcW w:type="dxa" w:w="2045"/>
          </w:tcPr>
          <w:p>
            <w:r>
              <w:t>Expertise / humanisation / réalisation</w:t>
            </w:r>
          </w:p>
        </w:tc>
        <w:tc>
          <w:tcPr>
            <w:tcW w:type="dxa" w:w="2045"/>
          </w:tcPr>
          <w:p>
            <w:r>
              <w:t>Prospection + visibilité</w:t>
            </w:r>
          </w:p>
        </w:tc>
      </w:tr>
    </w:tbl>
    <w:p>
      <w:r>
        <w:t>Ce rythme de 3 jours est volontairement réaliste : il permet de maintenir une présence régulière sans surcharger la production.</w:t>
      </w:r>
    </w:p>
    <w:p>
      <w:r>
        <w:t>Animation : stories 2 à 3 fois/semaine ; sondage 1 fois/semaine ; questions/réponses 2 fois/mois ; quiz 1 fois/mois ; live 1 fois/mois ; défi TikTok 1 à 2 fois/mois.</w:t>
      </w:r>
    </w:p>
    <w:p>
      <w:r>
        <w:rPr>
          <w:rFonts w:ascii="Arial" w:hAnsi="Arial"/>
          <w:b/>
          <w:sz w:val="22"/>
        </w:rPr>
        <w:t>Moyens mobilisés</w:t>
      </w:r>
    </w:p>
    <w:p>
      <w:pPr>
        <w:pStyle w:val="ListBullet"/>
        <w:spacing w:after="40"/>
      </w:pPr>
      <w:r>
        <w:t>Canva Free : carrousels, visuels, stories et publications.</w:t>
      </w:r>
    </w:p>
    <w:p>
      <w:pPr>
        <w:pStyle w:val="ListBullet"/>
        <w:spacing w:after="40"/>
      </w:pPr>
      <w:r>
        <w:t>CapCut : montage vidéo et sous-titres.</w:t>
      </w:r>
    </w:p>
    <w:p>
      <w:pPr>
        <w:pStyle w:val="ListBullet"/>
        <w:spacing w:after="40"/>
      </w:pPr>
      <w:r>
        <w:t>Meta Business Suite : programmation et gestion Facebook.</w:t>
      </w:r>
    </w:p>
    <w:p>
      <w:pPr>
        <w:pStyle w:val="ListBullet"/>
        <w:spacing w:after="40"/>
      </w:pPr>
      <w:r>
        <w:t>TikTok Studio : gestion et suivi TikTok.</w:t>
      </w:r>
    </w:p>
    <w:p>
      <w:pPr>
        <w:pStyle w:val="ListBullet"/>
        <w:spacing w:after="40"/>
      </w:pPr>
      <w:r>
        <w:t>LinkedIn : publication et statistiques professionnelles.</w:t>
      </w:r>
    </w:p>
    <w:p>
      <w:pPr>
        <w:pStyle w:val="ListBullet"/>
        <w:spacing w:after="40"/>
      </w:pPr>
      <w:r>
        <w:t>Google Drive : stockage et organisation.</w:t>
      </w:r>
    </w:p>
    <w:p>
      <w:pPr>
        <w:pStyle w:val="ListBullet"/>
        <w:spacing w:after="40"/>
      </w:pPr>
      <w:r>
        <w:t>Excel / Google Sheets : calendrier éditorial et suivi.</w:t>
      </w:r>
    </w:p>
    <w:p>
      <w:pPr>
        <w:pStyle w:val="ListBullet"/>
        <w:spacing w:after="40"/>
      </w:pPr>
      <w:r>
        <w:t>Statistiques natives : portée, engagement, abonnements, clics et performances.</w:t>
      </w:r>
    </w:p>
    <w:p>
      <w:r>
        <w:rPr>
          <w:rFonts w:ascii="Arial" w:hAnsi="Arial"/>
          <w:b/>
          <w:sz w:val="26"/>
        </w:rPr>
        <w:t>E · Execution — La mise en œuvre</w:t>
      </w:r>
    </w:p>
    <w:p>
      <w:r>
        <w:t>Question directrice : Comment je produis, publie et anime au quotidien ?</w:t>
      </w:r>
    </w:p>
    <w:p>
      <w:r>
        <w:rPr>
          <w:rFonts w:ascii="Arial" w:hAnsi="Arial"/>
          <w:b/>
          <w:sz w:val="22"/>
        </w:rPr>
        <w:t>1. Production et publication</w:t>
      </w:r>
    </w:p>
    <w:p>
      <w:r>
        <w:t>Sadiya Digital Agri organise sa production avec un calendrier éditorial mensuel, préparé et actualisé chaque semaine. Les contenus sont créés en avance afin d’éviter les publications improvisées.</w:t>
      </w:r>
    </w:p>
    <w:p>
      <w:pPr>
        <w:pStyle w:val="ListBullet"/>
        <w:spacing w:after="40"/>
      </w:pPr>
      <w:r>
        <w:t>Début du mois : définition des thèmes et objectifs.</w:t>
      </w:r>
    </w:p>
    <w:p>
      <w:pPr>
        <w:pStyle w:val="ListBullet"/>
        <w:spacing w:after="40"/>
      </w:pPr>
      <w:r>
        <w:t>Chaque semaine : création, validation et préparation des contenus.</w:t>
      </w:r>
    </w:p>
    <w:p>
      <w:pPr>
        <w:pStyle w:val="ListBullet"/>
        <w:spacing w:after="40"/>
      </w:pPr>
      <w:r>
        <w:t>Canva Free : création graphique ; CapCut : montage vidéo.</w:t>
      </w:r>
    </w:p>
    <w:p>
      <w:pPr>
        <w:pStyle w:val="ListBullet"/>
        <w:spacing w:after="40"/>
      </w:pPr>
      <w:r>
        <w:t>Google Drive : stockage ; Excel/Google Sheets : planification.</w:t>
      </w:r>
    </w:p>
    <w:p>
      <w:pPr>
        <w:pStyle w:val="ListBullet"/>
        <w:spacing w:after="40"/>
      </w:pPr>
      <w:r>
        <w:t>Meta Business Suite : programmation Facebook ; TikTok Studio : gestion TikTok ; LinkedIn : publication et suivi.</w:t>
      </w:r>
    </w:p>
    <w:p>
      <w:r>
        <w:rPr>
          <w:rFonts w:ascii="Arial" w:hAnsi="Arial"/>
          <w:b/>
          <w:sz w:val="22"/>
        </w:rPr>
        <w:t>2. Règles de modération</w:t>
      </w:r>
    </w:p>
    <w:p>
      <w:pPr>
        <w:pStyle w:val="ListBullet"/>
        <w:spacing w:after="40"/>
      </w:pPr>
      <w:r>
        <w:t>Ton professionnel, chaleureux, pédagogique et respectueux.</w:t>
      </w:r>
    </w:p>
    <w:p>
      <w:pPr>
        <w:pStyle w:val="ListBullet"/>
        <w:spacing w:after="40"/>
      </w:pPr>
      <w:r>
        <w:t>Répondre avec courtoisie et ne jamais entrer dans un conflit.</w:t>
      </w:r>
    </w:p>
    <w:p>
      <w:pPr>
        <w:pStyle w:val="ListBullet"/>
        <w:spacing w:after="40"/>
      </w:pPr>
      <w:r>
        <w:t>Conserver les critiques constructives et supprimer uniquement les propos insultants, haineux, discriminatoires, menaçants ou frauduleux.</w:t>
      </w:r>
    </w:p>
    <w:p>
      <w:pPr>
        <w:pStyle w:val="ListBullet"/>
        <w:spacing w:after="40"/>
      </w:pPr>
      <w:r>
        <w:t>Vérifier les informations avant de communiquer au nom d’un client.</w:t>
      </w:r>
    </w:p>
    <w:p>
      <w:pPr>
        <w:pStyle w:val="ListBullet"/>
        <w:spacing w:after="40"/>
      </w:pPr>
      <w:r>
        <w:t>Déplacer les réclamations et demandes sensibles en message privé.</w:t>
      </w:r>
    </w:p>
    <w:p>
      <w:r>
        <w:t>Réponse type : « Bonjour, merci pour votre retour. Nous sommes désolés que votre expérience n’ait pas été à la hauteur de vos attentes. Nous vous invitons à nous écrire en message privé afin que nous puissions mieux comprendre la situation et vous apporter une réponse adaptée. »</w:t>
      </w:r>
    </w:p>
    <w:p>
      <w:r>
        <w:rPr>
          <w:rFonts w:ascii="Arial" w:hAnsi="Arial"/>
          <w:b/>
          <w:sz w:val="22"/>
        </w:rPr>
        <w:t>3. Relation client</w:t>
      </w:r>
    </w:p>
    <w:p>
      <w:pPr>
        <w:pStyle w:val="ListBullet"/>
        <w:spacing w:after="40"/>
      </w:pPr>
      <w:r>
        <w:t>Surveillance quotidienne des commentaires et messages.</w:t>
      </w:r>
    </w:p>
    <w:p>
      <w:pPr>
        <w:pStyle w:val="ListBullet"/>
        <w:spacing w:after="40"/>
      </w:pPr>
      <w:r>
        <w:t>Délai cible : moins de 24 heures ouvrées.</w:t>
      </w:r>
    </w:p>
    <w:p>
      <w:pPr>
        <w:pStyle w:val="ListBullet"/>
        <w:spacing w:after="40"/>
      </w:pPr>
      <w:r>
        <w:t>Question simple : réponse directe.</w:t>
      </w:r>
    </w:p>
    <w:p>
      <w:pPr>
        <w:pStyle w:val="ListBullet"/>
        <w:spacing w:after="40"/>
      </w:pPr>
      <w:r>
        <w:t>Demande commerciale ou devis : orientation vers le message privé.</w:t>
      </w:r>
    </w:p>
    <w:p>
      <w:pPr>
        <w:pStyle w:val="ListBullet"/>
        <w:spacing w:after="40"/>
      </w:pPr>
      <w:r>
        <w:t>Réclamation : traitement confidentiel en privé.</w:t>
      </w:r>
    </w:p>
    <w:p>
      <w:pPr>
        <w:pStyle w:val="ListBullet"/>
        <w:spacing w:after="40"/>
      </w:pPr>
      <w:r>
        <w:t>Demande nécessitant le client : transmission rapide à l’entreprise concernée.</w:t>
      </w:r>
    </w:p>
    <w:p>
      <w:r>
        <w:rPr>
          <w:rFonts w:ascii="Arial" w:hAnsi="Arial"/>
          <w:b/>
          <w:sz w:val="22"/>
        </w:rPr>
        <w:t>4. Plan bad buzz</w:t>
      </w:r>
    </w:p>
    <w:p>
      <w:pPr>
        <w:pStyle w:val="ListBullet"/>
        <w:spacing w:after="40"/>
      </w:pPr>
      <w:r>
        <w:t>1. Identifier : origine et ampleur du problème.</w:t>
      </w:r>
    </w:p>
    <w:p>
      <w:pPr>
        <w:pStyle w:val="ListBullet"/>
        <w:spacing w:after="40"/>
      </w:pPr>
      <w:r>
        <w:t>2. Vérifier : recueillir les faits avant de répondre.</w:t>
      </w:r>
    </w:p>
    <w:p>
      <w:pPr>
        <w:pStyle w:val="ListBullet"/>
        <w:spacing w:after="40"/>
      </w:pPr>
      <w:r>
        <w:t>3. Répondre : communication rapide, calme et transparente.</w:t>
      </w:r>
    </w:p>
    <w:p>
      <w:pPr>
        <w:pStyle w:val="ListBullet"/>
        <w:spacing w:after="40"/>
      </w:pPr>
      <w:r>
        <w:t>4. Traiter : situations individuelles en privé.</w:t>
      </w:r>
    </w:p>
    <w:p>
      <w:pPr>
        <w:pStyle w:val="ListBullet"/>
        <w:spacing w:after="40"/>
      </w:pPr>
      <w:r>
        <w:t>5. Suivre : surveiller les réactions.</w:t>
      </w:r>
    </w:p>
    <w:p>
      <w:pPr>
        <w:pStyle w:val="ListBullet"/>
        <w:spacing w:after="40"/>
      </w:pPr>
      <w:r>
        <w:t>6. Tirer les leçons : analyser la crise et adapter la stratégie.</w:t>
      </w:r>
    </w:p>
    <w:p>
      <w:r>
        <w:t>Règle d’or : ne jamais répondre sous le coup de l’émotion.</w:t>
      </w:r>
    </w:p>
    <w:p>
      <w:r>
        <w:rPr>
          <w:rFonts w:ascii="Arial" w:hAnsi="Arial"/>
          <w:b/>
          <w:sz w:val="26"/>
        </w:rPr>
        <w:t>R · Results — Les résultats</w:t>
      </w:r>
    </w:p>
    <w:p>
      <w:r>
        <w:t>Question directrice : Est-ce que ça marche ? Comment je mesure et j’ajuste ?</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Objectif</w:t>
            </w:r>
          </w:p>
        </w:tc>
        <w:tc>
          <w:tcPr>
            <w:tcW w:type="dxa" w:w="2556"/>
          </w:tcPr>
          <w:p>
            <w:r>
              <w:t>KPI suivi</w:t>
            </w:r>
          </w:p>
        </w:tc>
        <w:tc>
          <w:tcPr>
            <w:tcW w:type="dxa" w:w="2556"/>
          </w:tcPr>
          <w:p>
            <w:r>
              <w:t>Où le mesurer ?</w:t>
            </w:r>
          </w:p>
        </w:tc>
        <w:tc>
          <w:tcPr>
            <w:tcW w:type="dxa" w:w="2556"/>
          </w:tcPr>
          <w:p>
            <w:r>
              <w:t>Fréquence du bilan</w:t>
            </w:r>
          </w:p>
        </w:tc>
      </w:tr>
      <w:tr>
        <w:tc>
          <w:tcPr>
            <w:tcW w:type="dxa" w:w="2556"/>
          </w:tcPr>
          <w:p>
            <w:r>
              <w:t>1. Développer la notoriété</w:t>
            </w:r>
          </w:p>
        </w:tc>
        <w:tc>
          <w:tcPr>
            <w:tcW w:type="dxa" w:w="2556"/>
          </w:tcPr>
          <w:p>
            <w:r>
              <w:t>Nombre d’abonnés, portée, impressions, vues</w:t>
            </w:r>
          </w:p>
        </w:tc>
        <w:tc>
          <w:tcPr>
            <w:tcW w:type="dxa" w:w="2556"/>
          </w:tcPr>
          <w:p>
            <w:r>
              <w:t>Statistiques Facebook, LinkedIn et TikTok</w:t>
            </w:r>
          </w:p>
        </w:tc>
        <w:tc>
          <w:tcPr>
            <w:tcW w:type="dxa" w:w="2556"/>
          </w:tcPr>
          <w:p>
            <w:r>
              <w:t>Mensuel</w:t>
            </w:r>
          </w:p>
        </w:tc>
      </w:tr>
      <w:tr>
        <w:tc>
          <w:tcPr>
            <w:tcW w:type="dxa" w:w="2556"/>
          </w:tcPr>
          <w:p>
            <w:r>
              <w:t>2. Générer des prospects</w:t>
            </w:r>
          </w:p>
        </w:tc>
        <w:tc>
          <w:tcPr>
            <w:tcW w:type="dxa" w:w="2556"/>
          </w:tcPr>
          <w:p>
            <w:r>
              <w:t>Nombre de messages, demandes d’information, clics, prospects qualifiés</w:t>
            </w:r>
          </w:p>
        </w:tc>
        <w:tc>
          <w:tcPr>
            <w:tcW w:type="dxa" w:w="2556"/>
          </w:tcPr>
          <w:p>
            <w:r>
              <w:t>Statistiques des plateformes + tableau de suivi</w:t>
            </w:r>
          </w:p>
        </w:tc>
        <w:tc>
          <w:tcPr>
            <w:tcW w:type="dxa" w:w="2556"/>
          </w:tcPr>
          <w:p>
            <w:r>
              <w:t>Hebdomadaire + mensuel</w:t>
            </w:r>
          </w:p>
        </w:tc>
      </w:tr>
      <w:tr>
        <w:tc>
          <w:tcPr>
            <w:tcW w:type="dxa" w:w="2556"/>
          </w:tcPr>
          <w:p>
            <w:r>
              <w:t>3. Convertir les prospects en clients</w:t>
            </w:r>
          </w:p>
        </w:tc>
        <w:tc>
          <w:tcPr>
            <w:tcW w:type="dxa" w:w="2556"/>
          </w:tcPr>
          <w:p>
            <w:r>
              <w:t>Prospects convertis, contrats signés, taux de conversion</w:t>
            </w:r>
          </w:p>
        </w:tc>
        <w:tc>
          <w:tcPr>
            <w:tcW w:type="dxa" w:w="2556"/>
          </w:tcPr>
          <w:p>
            <w:r>
              <w:t>Tableau de suivi commercial</w:t>
            </w:r>
          </w:p>
        </w:tc>
        <w:tc>
          <w:tcPr>
            <w:tcW w:type="dxa" w:w="2556"/>
          </w:tcPr>
          <w:p>
            <w:r>
              <w:t>Mensuel</w:t>
            </w:r>
          </w:p>
        </w:tc>
      </w:tr>
    </w:tbl>
    <w:p>
      <w:r>
        <w:rPr>
          <w:rFonts w:ascii="Arial" w:hAnsi="Arial"/>
          <w:b/>
          <w:sz w:val="22"/>
        </w:rPr>
        <w:t>Reporting et ajustement</w:t>
      </w:r>
    </w:p>
    <w:p>
      <w:pPr>
        <w:pStyle w:val="ListBullet"/>
        <w:spacing w:after="40"/>
      </w:pPr>
      <w:r>
        <w:t>Chaque semaine : vérifier les performances et identifier les contenus les plus performants.</w:t>
      </w:r>
    </w:p>
    <w:p>
      <w:pPr>
        <w:pStyle w:val="ListBullet"/>
        <w:spacing w:after="40"/>
      </w:pPr>
      <w:r>
        <w:t>Chaque mois : comparer les KPI aux objectifs, analyser les réussites et les points faibles, puis définir les ajustements.</w:t>
      </w:r>
    </w:p>
    <w:p>
      <w:pPr>
        <w:jc w:val="center"/>
      </w:pPr>
      <w:r>
        <w:rPr>
          <w:b/>
          <w:sz w:val="24"/>
        </w:rPr>
        <w:t>Publier → Mesurer → Analyser → Ajuster → Améliorer</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Sadiya Digital Agri — Stratégie digitale TOMSTER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