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COMPLIANCE MAPPING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Duty: ICT Governance and Compliance | Maintained by: N. Nene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Frameworks: COBIT 2019, NIST CSF 2.0, ISO 27001:2022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Risk/Control Area | COBIT 2019 Objective | NIST CSF 2.0 Subcategory | ISO 27001:2022 Annex A | GRC Tool | Evidence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IT Risk Management | APO12.01 Collect data | ID.RA-01 Identify assets | A.5.8 Info security in projects | 6clicks | Risk register screenshot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Access Management | DSS05.04 Manage user identity | PR.AC-01 Identities managed | A.9.2.1 User registration | Sprinto | User access report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Backup and DR | DSS04.01 Set backup policy | RC.RP-01 Recovery plan | A.8.13 Information backup | Veeam | Backup success log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Incident Response | DSS02.01 Define IR plan | RS.CO-01 Response plan | A.16.1 Responsibilities defined | ServiceDesk | Incident log INC2026-0618-001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Policy Management | APO01.03 Define org structure | GV.PO-01 Policy established | A.5.3 Segregation of duties | SharePoint | Policy v3.1 approval email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Asset Management | BAI09.01 Identify assets | ID.AM-01 Physical devices | A.8.1 Inventory of assets | Sprinto | Asset register CSV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PURPOSE: Demonstrates single control meets multiple framework requirements. Reduces audit effort.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