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 REMEDIAL ACTION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Duty: Identify and track remedial actions from DR testing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Owner: N. Nene | Updated: 18 June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No | Date Found | Gap Description | Severity | Owner | Due Date | Status | Evidence/Notes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1 | 15 Jun 2026 | ECMS restore took 5h12min vs 4hr RTO target | High | Network Team | 30 Jun 2026 | In Progress | Slow WAN link to DR site. Quote for upgrade requested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2 | 15 Jun 2026 | DR contact list had 2 outdated phone numbers | Medium | HR Department | 20 Jun 2026 | Closed | Updated 18 Jun. New list saved v3.2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3 | 15 Jun 2026 | Backup verification step not documented in runbook | Low | N. Nene | 25 Jun 2026 | In Progress | Added Data Integrity Check step to runbook v1.1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4 | 15 Jun 2026 | Users not aware of DR site URL and login process | Medium | Comms Team | 22 Jun 2026 | In Progress | Draft awareness email ready for approval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INTERVIEW LINE: "I log every gap, assign owner and due date, track to closure. This provides audit evidence for ISO 27001 Annex A.17.”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