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0248" w14:textId="798A69BD" w:rsidR="00A41EEE" w:rsidRDefault="00F626BE" w:rsidP="00A41EEE">
      <w:pPr>
        <w:pStyle w:val="a9"/>
      </w:pPr>
      <w:r>
        <w:fldChar w:fldCharType="begin"/>
      </w:r>
      <w:r>
        <w:instrText xml:space="preserve"> MACROBUTTON MTEditEquationSection2 </w:instrText>
      </w:r>
      <w:r w:rsidRPr="00F626BE">
        <w:rPr>
          <w:rStyle w:val="MTEquationSection"/>
          <w:rFonts w:hint="eastAsia"/>
        </w:rPr>
        <w:instrText>公式章</w:instrText>
      </w:r>
      <w:r w:rsidRPr="00F626BE">
        <w:rPr>
          <w:rStyle w:val="MTEquationSection"/>
          <w:rFonts w:hint="eastAsia"/>
        </w:rPr>
        <w:instrText xml:space="preserve"> 1 </w:instrText>
      </w:r>
      <w:r w:rsidRPr="00F626BE">
        <w:rPr>
          <w:rStyle w:val="MTEquationSection"/>
          <w:rFonts w:hint="eastAsia"/>
        </w:rPr>
        <w:instrText>节</w:instrText>
      </w:r>
      <w:r w:rsidRPr="00F626BE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41EEE">
        <w:rPr>
          <w:rFonts w:hint="eastAsia"/>
        </w:rPr>
        <w:t>昇科论文复现大赛报告</w:t>
      </w:r>
    </w:p>
    <w:p w14:paraId="2EB98A68" w14:textId="5A402F78" w:rsidR="00F84159" w:rsidRDefault="00F84159" w:rsidP="00F84159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这一文档用以说明本工程所使用的方法，以及实验过程中的一些发现。希望可以为贵公司的相关工作人员提供参考，为</w:t>
      </w:r>
      <w:r w:rsidR="00D0746E">
        <w:rPr>
          <w:rFonts w:ascii="Times New Roman" w:eastAsia="宋体" w:hAnsi="Times New Roman" w:hint="eastAsia"/>
          <w:sz w:val="24"/>
          <w:szCs w:val="24"/>
        </w:rPr>
        <w:t>进一步</w:t>
      </w:r>
      <w:r>
        <w:rPr>
          <w:rFonts w:ascii="Times New Roman" w:eastAsia="宋体" w:hAnsi="Times New Roman" w:hint="eastAsia"/>
          <w:sz w:val="24"/>
          <w:szCs w:val="24"/>
        </w:rPr>
        <w:t>提升容量预测精度提供支持。</w:t>
      </w:r>
    </w:p>
    <w:p w14:paraId="1C47E5ED" w14:textId="7861FA58" w:rsidR="00F84159" w:rsidRDefault="009416A8" w:rsidP="009416A8">
      <w:pPr>
        <w:pStyle w:val="1"/>
        <w:numPr>
          <w:ilvl w:val="0"/>
          <w:numId w:val="2"/>
        </w:numPr>
      </w:pPr>
      <w:r>
        <w:rPr>
          <w:rFonts w:hint="eastAsia"/>
        </w:rPr>
        <w:t>最终的复现精度</w:t>
      </w:r>
    </w:p>
    <w:p w14:paraId="5C573F0D" w14:textId="64D87D54" w:rsidR="00F84159" w:rsidRDefault="00D74DCC" w:rsidP="00456F6F">
      <w:pPr>
        <w:spacing w:line="300" w:lineRule="auto"/>
        <w:ind w:left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首先给出</w:t>
      </w:r>
      <w:r w:rsidR="00C97789">
        <w:rPr>
          <w:rFonts w:ascii="Times New Roman" w:eastAsia="宋体" w:hAnsi="Times New Roman" w:hint="eastAsia"/>
          <w:sz w:val="24"/>
          <w:szCs w:val="24"/>
        </w:rPr>
        <w:t>结论，本组所能做到的精度为：</w:t>
      </w:r>
    </w:p>
    <w:p w14:paraId="604CED22" w14:textId="1A277F04" w:rsidR="00236D3D" w:rsidRPr="00236D3D" w:rsidRDefault="00236D3D" w:rsidP="00236D3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236D3D">
        <w:rPr>
          <w:rFonts w:ascii="Times New Roman" w:eastAsia="宋体" w:hAnsi="Times New Roman" w:hint="eastAsia"/>
          <w:szCs w:val="21"/>
        </w:rPr>
        <w:t>表</w:t>
      </w:r>
      <w:r w:rsidRPr="00236D3D">
        <w:rPr>
          <w:rFonts w:ascii="Times New Roman" w:eastAsia="宋体" w:hAnsi="Times New Roman" w:hint="eastAsia"/>
          <w:szCs w:val="21"/>
        </w:rPr>
        <w:t>1</w:t>
      </w:r>
      <w:r w:rsidRPr="00236D3D">
        <w:rPr>
          <w:rFonts w:ascii="Times New Roman" w:eastAsia="宋体" w:hAnsi="Times New Roman"/>
          <w:szCs w:val="21"/>
        </w:rPr>
        <w:t xml:space="preserve"> </w:t>
      </w:r>
      <w:r w:rsidRPr="00236D3D">
        <w:rPr>
          <w:rFonts w:ascii="Times New Roman" w:eastAsia="宋体" w:hAnsi="Times New Roman" w:hint="eastAsia"/>
          <w:szCs w:val="21"/>
        </w:rPr>
        <w:t>本文方法精度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87"/>
        <w:gridCol w:w="2170"/>
        <w:gridCol w:w="2169"/>
        <w:gridCol w:w="2170"/>
      </w:tblGrid>
      <w:tr w:rsidR="00C97789" w14:paraId="386287D0" w14:textId="77777777" w:rsidTr="00BA2280">
        <w:trPr>
          <w:jc w:val="center"/>
        </w:trPr>
        <w:tc>
          <w:tcPr>
            <w:tcW w:w="1787" w:type="dxa"/>
            <w:vAlign w:val="center"/>
          </w:tcPr>
          <w:p w14:paraId="0D1BAB0F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0" w:type="dxa"/>
            <w:vAlign w:val="center"/>
          </w:tcPr>
          <w:p w14:paraId="797E09FB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训练集</w:t>
            </w:r>
            <w:r>
              <w:rPr>
                <w:rFonts w:ascii="Times New Roman" w:hAnsi="Times New Roman" w:hint="eastAsia"/>
                <w:sz w:val="24"/>
              </w:rPr>
              <w:t>MAPE</w:t>
            </w:r>
          </w:p>
        </w:tc>
        <w:tc>
          <w:tcPr>
            <w:tcW w:w="2169" w:type="dxa"/>
            <w:vAlign w:val="center"/>
          </w:tcPr>
          <w:p w14:paraId="7351D07A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验证集</w:t>
            </w:r>
            <w:r>
              <w:rPr>
                <w:rFonts w:ascii="Times New Roman" w:hAnsi="Times New Roman" w:hint="eastAsia"/>
                <w:sz w:val="24"/>
              </w:rPr>
              <w:t>MAPE</w:t>
            </w:r>
          </w:p>
        </w:tc>
        <w:tc>
          <w:tcPr>
            <w:tcW w:w="2170" w:type="dxa"/>
            <w:vAlign w:val="center"/>
          </w:tcPr>
          <w:p w14:paraId="24B7C08C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测试集</w:t>
            </w:r>
            <w:r>
              <w:rPr>
                <w:rFonts w:ascii="Times New Roman" w:hAnsi="Times New Roman" w:hint="eastAsia"/>
                <w:sz w:val="24"/>
              </w:rPr>
              <w:t>MAPE</w:t>
            </w:r>
          </w:p>
        </w:tc>
      </w:tr>
      <w:tr w:rsidR="00C97789" w14:paraId="55C81ED0" w14:textId="77777777" w:rsidTr="00BA2280">
        <w:trPr>
          <w:jc w:val="center"/>
        </w:trPr>
        <w:tc>
          <w:tcPr>
            <w:tcW w:w="1787" w:type="dxa"/>
            <w:vAlign w:val="center"/>
          </w:tcPr>
          <w:p w14:paraId="3700FEF2" w14:textId="4545C0AB" w:rsidR="00C97789" w:rsidRDefault="00CC4765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论</w:t>
            </w:r>
            <w:r w:rsidR="00C97789">
              <w:rPr>
                <w:rFonts w:ascii="Times New Roman" w:hAnsi="Times New Roman" w:hint="eastAsia"/>
                <w:sz w:val="24"/>
              </w:rPr>
              <w:t>文中结果</w:t>
            </w:r>
          </w:p>
        </w:tc>
        <w:tc>
          <w:tcPr>
            <w:tcW w:w="2170" w:type="dxa"/>
            <w:vAlign w:val="center"/>
          </w:tcPr>
          <w:p w14:paraId="3C414F39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.8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69" w:type="dxa"/>
            <w:vAlign w:val="center"/>
          </w:tcPr>
          <w:p w14:paraId="30891839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0.1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70" w:type="dxa"/>
            <w:vAlign w:val="center"/>
          </w:tcPr>
          <w:p w14:paraId="1673065F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>.6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</w:tr>
      <w:tr w:rsidR="00C97789" w14:paraId="643E50C4" w14:textId="77777777" w:rsidTr="00BA2280">
        <w:trPr>
          <w:jc w:val="center"/>
        </w:trPr>
        <w:tc>
          <w:tcPr>
            <w:tcW w:w="1787" w:type="dxa"/>
            <w:vAlign w:val="center"/>
          </w:tcPr>
          <w:p w14:paraId="0D5731B2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CNN</w:t>
            </w:r>
            <w:r>
              <w:rPr>
                <w:rFonts w:ascii="Times New Roman" w:hAnsi="Times New Roman" w:hint="eastAsia"/>
                <w:sz w:val="24"/>
              </w:rPr>
              <w:t>法</w:t>
            </w:r>
          </w:p>
        </w:tc>
        <w:tc>
          <w:tcPr>
            <w:tcW w:w="2170" w:type="dxa"/>
            <w:vAlign w:val="center"/>
          </w:tcPr>
          <w:p w14:paraId="651A3455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.6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69" w:type="dxa"/>
            <w:vAlign w:val="center"/>
          </w:tcPr>
          <w:p w14:paraId="39568356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.3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70" w:type="dxa"/>
            <w:vAlign w:val="center"/>
          </w:tcPr>
          <w:p w14:paraId="46F947A5" w14:textId="77777777" w:rsidR="00C97789" w:rsidRDefault="00C97789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.2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</w:tr>
    </w:tbl>
    <w:p w14:paraId="7C2D27A8" w14:textId="22C14780" w:rsidR="00C97789" w:rsidRDefault="00452CF6" w:rsidP="00EF7109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另外</w:t>
      </w:r>
      <w:r w:rsidR="002228EB">
        <w:rPr>
          <w:rFonts w:ascii="Times New Roman" w:eastAsia="宋体" w:hAnsi="Times New Roman" w:hint="eastAsia"/>
          <w:sz w:val="24"/>
          <w:szCs w:val="24"/>
        </w:rPr>
        <w:t>本组成员还探索了一种</w:t>
      </w:r>
      <w:r w:rsidR="00431055">
        <w:rPr>
          <w:rFonts w:ascii="Times New Roman" w:eastAsia="宋体" w:hAnsi="Times New Roman" w:hint="eastAsia"/>
          <w:sz w:val="24"/>
          <w:szCs w:val="24"/>
        </w:rPr>
        <w:t>测试</w:t>
      </w:r>
      <w:r w:rsidR="00D0578D">
        <w:rPr>
          <w:rFonts w:ascii="Times New Roman" w:eastAsia="宋体" w:hAnsi="Times New Roman" w:hint="eastAsia"/>
          <w:sz w:val="24"/>
          <w:szCs w:val="24"/>
        </w:rPr>
        <w:t>集</w:t>
      </w:r>
      <w:r w:rsidR="002228EB">
        <w:rPr>
          <w:rFonts w:ascii="Times New Roman" w:eastAsia="宋体" w:hAnsi="Times New Roman" w:hint="eastAsia"/>
          <w:sz w:val="24"/>
          <w:szCs w:val="24"/>
        </w:rPr>
        <w:t>精度有望达到</w:t>
      </w:r>
      <w:r w:rsidR="00096829" w:rsidRPr="00236D3D">
        <w:rPr>
          <w:rFonts w:ascii="Times New Roman" w:eastAsia="宋体" w:hAnsi="Times New Roman"/>
          <w:b/>
          <w:bCs/>
          <w:sz w:val="24"/>
          <w:szCs w:val="24"/>
        </w:rPr>
        <w:t>8.7</w:t>
      </w:r>
      <w:r w:rsidR="00D0578D" w:rsidRPr="00236D3D">
        <w:rPr>
          <w:rFonts w:ascii="Times New Roman" w:eastAsia="宋体" w:hAnsi="Times New Roman" w:hint="eastAsia"/>
          <w:b/>
          <w:bCs/>
          <w:sz w:val="24"/>
          <w:szCs w:val="24"/>
        </w:rPr>
        <w:t>%</w:t>
      </w:r>
      <w:r w:rsidR="00D0578D">
        <w:rPr>
          <w:rFonts w:ascii="Times New Roman" w:eastAsia="宋体" w:hAnsi="Times New Roman" w:hint="eastAsia"/>
          <w:sz w:val="24"/>
          <w:szCs w:val="24"/>
        </w:rPr>
        <w:t>的方法，但</w:t>
      </w:r>
      <w:r w:rsidR="00EF7109">
        <w:rPr>
          <w:rFonts w:ascii="Times New Roman" w:eastAsia="宋体" w:hAnsi="Times New Roman" w:hint="eastAsia"/>
          <w:sz w:val="24"/>
          <w:szCs w:val="24"/>
        </w:rPr>
        <w:t>该方法仅能基于某些假设条件实现，故严格上不能作为本组成果。这种方法将在第</w:t>
      </w:r>
      <w:r w:rsidR="00EF7109">
        <w:rPr>
          <w:rFonts w:ascii="Times New Roman" w:eastAsia="宋体" w:hAnsi="Times New Roman" w:hint="eastAsia"/>
          <w:sz w:val="24"/>
          <w:szCs w:val="24"/>
        </w:rPr>
        <w:t>3</w:t>
      </w:r>
      <w:r w:rsidR="00EF7109">
        <w:rPr>
          <w:rFonts w:ascii="Times New Roman" w:eastAsia="宋体" w:hAnsi="Times New Roman" w:hint="eastAsia"/>
          <w:sz w:val="24"/>
          <w:szCs w:val="24"/>
        </w:rPr>
        <w:t>节详细介绍，仅供参考。</w:t>
      </w:r>
    </w:p>
    <w:p w14:paraId="499D0ED4" w14:textId="0DD26185" w:rsidR="009F4A4C" w:rsidRDefault="00247179" w:rsidP="00247179">
      <w:pPr>
        <w:pStyle w:val="1"/>
        <w:numPr>
          <w:ilvl w:val="0"/>
          <w:numId w:val="2"/>
        </w:numPr>
      </w:pPr>
      <w:r>
        <w:rPr>
          <w:rFonts w:hint="eastAsia"/>
        </w:rPr>
        <w:t>CNN法</w:t>
      </w:r>
    </w:p>
    <w:p w14:paraId="294ECA5C" w14:textId="673A3745" w:rsidR="009F4A4C" w:rsidRDefault="004A521A" w:rsidP="00454A67">
      <w:pPr>
        <w:spacing w:line="30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基于卷积神经网络的方法是目前所能做到精度最高的方法，</w:t>
      </w:r>
      <w:r w:rsidR="00454A67">
        <w:rPr>
          <w:rFonts w:ascii="Times New Roman" w:eastAsia="宋体" w:hAnsi="Times New Roman" w:hint="eastAsia"/>
          <w:sz w:val="24"/>
          <w:szCs w:val="24"/>
        </w:rPr>
        <w:t>CNN</w:t>
      </w:r>
      <w:r w:rsidR="00454A67">
        <w:rPr>
          <w:rFonts w:ascii="Times New Roman" w:eastAsia="宋体" w:hAnsi="Times New Roman" w:hint="eastAsia"/>
          <w:sz w:val="24"/>
          <w:szCs w:val="24"/>
        </w:rPr>
        <w:t>的输入为原文中提到的</w:t>
      </w:r>
      <w:r w:rsidR="00454A67" w:rsidRPr="00454A67">
        <w:rPr>
          <w:rFonts w:ascii="Times New Roman" w:eastAsia="宋体" w:hAnsi="Times New Roman" w:cs="Times New Roman"/>
          <w:sz w:val="24"/>
          <w:szCs w:val="24"/>
        </w:rPr>
        <w:t>Δ</w:t>
      </w:r>
      <w:r w:rsidR="00454A67">
        <w:rPr>
          <w:rFonts w:ascii="Times New Roman" w:eastAsia="宋体" w:hAnsi="Times New Roman" w:hint="eastAsia"/>
          <w:sz w:val="24"/>
          <w:szCs w:val="24"/>
        </w:rPr>
        <w:t>Q</w:t>
      </w:r>
      <w:r w:rsidR="00454A67" w:rsidRPr="00454A67">
        <w:rPr>
          <w:rFonts w:ascii="Times New Roman" w:eastAsia="宋体" w:hAnsi="Times New Roman"/>
          <w:sz w:val="24"/>
          <w:szCs w:val="24"/>
          <w:vertAlign w:val="subscript"/>
        </w:rPr>
        <w:t>100-10</w:t>
      </w:r>
      <w:r w:rsidR="00454A67">
        <w:rPr>
          <w:rFonts w:ascii="Times New Roman" w:eastAsia="宋体" w:hAnsi="Times New Roman" w:hint="eastAsia"/>
          <w:sz w:val="24"/>
          <w:szCs w:val="24"/>
        </w:rPr>
        <w:t>曲线，输出即为电池寿命（</w:t>
      </w:r>
      <w:r w:rsidR="00454A67">
        <w:rPr>
          <w:rFonts w:ascii="Times New Roman" w:eastAsia="宋体" w:hAnsi="Times New Roman" w:hint="eastAsia"/>
          <w:sz w:val="24"/>
          <w:szCs w:val="24"/>
        </w:rPr>
        <w:t>CYC</w:t>
      </w:r>
      <w:r w:rsidR="00454A67">
        <w:rPr>
          <w:rFonts w:ascii="Times New Roman" w:eastAsia="宋体" w:hAnsi="Times New Roman" w:hint="eastAsia"/>
          <w:sz w:val="24"/>
          <w:szCs w:val="24"/>
        </w:rPr>
        <w:t>）</w:t>
      </w:r>
      <w:r w:rsidR="002271DE">
        <w:rPr>
          <w:rFonts w:ascii="Times New Roman" w:eastAsia="宋体" w:hAnsi="Times New Roman" w:hint="eastAsia"/>
          <w:sz w:val="24"/>
          <w:szCs w:val="24"/>
        </w:rPr>
        <w:t>。</w:t>
      </w:r>
      <w:r w:rsidR="00FC6CC0">
        <w:rPr>
          <w:rFonts w:ascii="Times New Roman" w:eastAsia="宋体" w:hAnsi="Times New Roman" w:hint="eastAsia"/>
          <w:sz w:val="24"/>
          <w:szCs w:val="24"/>
        </w:rPr>
        <w:t>CNN</w:t>
      </w:r>
      <w:r w:rsidR="00FC6CC0">
        <w:rPr>
          <w:rFonts w:ascii="Times New Roman" w:eastAsia="宋体" w:hAnsi="Times New Roman" w:hint="eastAsia"/>
          <w:sz w:val="24"/>
          <w:szCs w:val="24"/>
        </w:rPr>
        <w:t>的具体结构为：</w:t>
      </w:r>
    </w:p>
    <w:p w14:paraId="3F672ED4" w14:textId="2E2E8915" w:rsidR="00236D3D" w:rsidRPr="00236D3D" w:rsidRDefault="00236D3D" w:rsidP="00236D3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236D3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/>
          <w:szCs w:val="21"/>
        </w:rPr>
        <w:t>2</w:t>
      </w:r>
      <w:r w:rsidRPr="00236D3D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CNN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268"/>
        <w:gridCol w:w="2303"/>
        <w:gridCol w:w="2170"/>
      </w:tblGrid>
      <w:tr w:rsidR="00FC6CC0" w14:paraId="5F38269E" w14:textId="77777777" w:rsidTr="00236D3D">
        <w:trPr>
          <w:jc w:val="center"/>
        </w:trPr>
        <w:tc>
          <w:tcPr>
            <w:tcW w:w="1555" w:type="dxa"/>
            <w:vAlign w:val="center"/>
          </w:tcPr>
          <w:p w14:paraId="0D51C50B" w14:textId="77777777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50101A1" w14:textId="470885FE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输入通道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神经元数</w:t>
            </w:r>
          </w:p>
        </w:tc>
        <w:tc>
          <w:tcPr>
            <w:tcW w:w="2303" w:type="dxa"/>
            <w:vAlign w:val="center"/>
          </w:tcPr>
          <w:p w14:paraId="62A82DAA" w14:textId="7D5D25A4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输出通道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神经元数</w:t>
            </w:r>
          </w:p>
        </w:tc>
        <w:tc>
          <w:tcPr>
            <w:tcW w:w="2170" w:type="dxa"/>
            <w:vAlign w:val="center"/>
          </w:tcPr>
          <w:p w14:paraId="68ECCB17" w14:textId="008EC593" w:rsidR="00FC6CC0" w:rsidRDefault="005B6BD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其他信息</w:t>
            </w:r>
          </w:p>
        </w:tc>
      </w:tr>
      <w:tr w:rsidR="00FC6CC0" w14:paraId="7CAC71CA" w14:textId="77777777" w:rsidTr="00236D3D">
        <w:trPr>
          <w:jc w:val="center"/>
        </w:trPr>
        <w:tc>
          <w:tcPr>
            <w:tcW w:w="1555" w:type="dxa"/>
            <w:vAlign w:val="center"/>
          </w:tcPr>
          <w:p w14:paraId="082E5F82" w14:textId="433ED42B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一维卷积层</w:t>
            </w:r>
          </w:p>
        </w:tc>
        <w:tc>
          <w:tcPr>
            <w:tcW w:w="2268" w:type="dxa"/>
            <w:vAlign w:val="center"/>
          </w:tcPr>
          <w:p w14:paraId="7612A51D" w14:textId="5B462063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03" w:type="dxa"/>
            <w:vAlign w:val="center"/>
          </w:tcPr>
          <w:p w14:paraId="44552DCA" w14:textId="627435EB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170" w:type="dxa"/>
            <w:vAlign w:val="center"/>
          </w:tcPr>
          <w:p w14:paraId="12CA79B9" w14:textId="09BB7837" w:rsidR="00FC6CC0" w:rsidRDefault="005B6BD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卷积核大小为</w:t>
            </w:r>
            <w:r w:rsidR="00FC6CC0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FC6CC0" w14:paraId="7415D2FE" w14:textId="77777777" w:rsidTr="00236D3D">
        <w:trPr>
          <w:jc w:val="center"/>
        </w:trPr>
        <w:tc>
          <w:tcPr>
            <w:tcW w:w="1555" w:type="dxa"/>
            <w:vAlign w:val="center"/>
          </w:tcPr>
          <w:p w14:paraId="7E964C70" w14:textId="006A9526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一维卷积层</w:t>
            </w:r>
          </w:p>
        </w:tc>
        <w:tc>
          <w:tcPr>
            <w:tcW w:w="2268" w:type="dxa"/>
            <w:vAlign w:val="center"/>
          </w:tcPr>
          <w:p w14:paraId="66FF60D7" w14:textId="57042BFE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03" w:type="dxa"/>
            <w:vAlign w:val="center"/>
          </w:tcPr>
          <w:p w14:paraId="6E33178E" w14:textId="09254E9F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170" w:type="dxa"/>
            <w:vAlign w:val="center"/>
          </w:tcPr>
          <w:p w14:paraId="391BA1AA" w14:textId="0BA89F27" w:rsidR="00FC6CC0" w:rsidRDefault="005B6BD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卷积核大小为</w:t>
            </w:r>
            <w:r w:rsidR="00FC6CC0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FC6CC0" w14:paraId="319DAC6E" w14:textId="77777777" w:rsidTr="00236D3D">
        <w:trPr>
          <w:jc w:val="center"/>
        </w:trPr>
        <w:tc>
          <w:tcPr>
            <w:tcW w:w="1555" w:type="dxa"/>
            <w:vAlign w:val="center"/>
          </w:tcPr>
          <w:p w14:paraId="041E2301" w14:textId="469847E9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全连接层</w:t>
            </w:r>
          </w:p>
        </w:tc>
        <w:tc>
          <w:tcPr>
            <w:tcW w:w="2268" w:type="dxa"/>
            <w:vAlign w:val="center"/>
          </w:tcPr>
          <w:p w14:paraId="13319869" w14:textId="755AE674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04</w:t>
            </w:r>
          </w:p>
        </w:tc>
        <w:tc>
          <w:tcPr>
            <w:tcW w:w="2303" w:type="dxa"/>
            <w:vAlign w:val="center"/>
          </w:tcPr>
          <w:p w14:paraId="70B0ACB6" w14:textId="50F404FB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00</w:t>
            </w:r>
          </w:p>
        </w:tc>
        <w:tc>
          <w:tcPr>
            <w:tcW w:w="2170" w:type="dxa"/>
            <w:vAlign w:val="center"/>
          </w:tcPr>
          <w:p w14:paraId="44DEC7A4" w14:textId="27064C9D" w:rsidR="00FC6CC0" w:rsidRDefault="005B6BD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激活函数为</w:t>
            </w:r>
            <w:r w:rsidR="00FC6CC0">
              <w:rPr>
                <w:rFonts w:ascii="Times New Roman" w:hAnsi="Times New Roman" w:hint="eastAsia"/>
                <w:sz w:val="24"/>
              </w:rPr>
              <w:t>Relu</w:t>
            </w:r>
          </w:p>
        </w:tc>
      </w:tr>
      <w:tr w:rsidR="00FC6CC0" w14:paraId="6EF00E97" w14:textId="77777777" w:rsidTr="00236D3D">
        <w:trPr>
          <w:jc w:val="center"/>
        </w:trPr>
        <w:tc>
          <w:tcPr>
            <w:tcW w:w="1555" w:type="dxa"/>
            <w:vAlign w:val="center"/>
          </w:tcPr>
          <w:p w14:paraId="356EC5F9" w14:textId="422B1CB5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全连接层</w:t>
            </w:r>
          </w:p>
        </w:tc>
        <w:tc>
          <w:tcPr>
            <w:tcW w:w="2268" w:type="dxa"/>
            <w:vAlign w:val="center"/>
          </w:tcPr>
          <w:p w14:paraId="75ADB35A" w14:textId="39A0A782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00</w:t>
            </w:r>
          </w:p>
        </w:tc>
        <w:tc>
          <w:tcPr>
            <w:tcW w:w="2303" w:type="dxa"/>
            <w:vAlign w:val="center"/>
          </w:tcPr>
          <w:p w14:paraId="23C671FE" w14:textId="6347095B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2170" w:type="dxa"/>
            <w:vAlign w:val="center"/>
          </w:tcPr>
          <w:p w14:paraId="0F0FDF24" w14:textId="1BF4B8D0" w:rsidR="00FC6CC0" w:rsidRDefault="00FC6CC0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4D90220F" w14:textId="7104041B" w:rsidR="00FC6CC0" w:rsidRDefault="005143A9" w:rsidP="00FC6CC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初始学习率设置为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.001</w:t>
      </w:r>
      <w:r>
        <w:rPr>
          <w:rFonts w:ascii="Times New Roman" w:eastAsia="宋体" w:hAnsi="Times New Roman" w:hint="eastAsia"/>
          <w:sz w:val="24"/>
          <w:szCs w:val="24"/>
        </w:rPr>
        <w:t>，并随训练衰减。</w:t>
      </w:r>
      <w:r w:rsidR="00B86B28">
        <w:rPr>
          <w:rFonts w:ascii="Times New Roman" w:eastAsia="宋体" w:hAnsi="Times New Roman"/>
          <w:sz w:val="24"/>
          <w:szCs w:val="24"/>
        </w:rPr>
        <w:t>B</w:t>
      </w:r>
      <w:r w:rsidR="00B86B28">
        <w:rPr>
          <w:rFonts w:ascii="Times New Roman" w:eastAsia="宋体" w:hAnsi="Times New Roman" w:hint="eastAsia"/>
          <w:sz w:val="24"/>
          <w:szCs w:val="24"/>
        </w:rPr>
        <w:t>atch</w:t>
      </w:r>
      <w:r w:rsidR="00B86B28">
        <w:rPr>
          <w:rFonts w:ascii="Times New Roman" w:eastAsia="宋体" w:hAnsi="Times New Roman"/>
          <w:sz w:val="24"/>
          <w:szCs w:val="24"/>
        </w:rPr>
        <w:t xml:space="preserve"> </w:t>
      </w:r>
      <w:r w:rsidR="00B86B28">
        <w:rPr>
          <w:rFonts w:ascii="Times New Roman" w:eastAsia="宋体" w:hAnsi="Times New Roman" w:hint="eastAsia"/>
          <w:sz w:val="24"/>
          <w:szCs w:val="24"/>
        </w:rPr>
        <w:t>size</w:t>
      </w:r>
      <w:r w:rsidR="00B86B28">
        <w:rPr>
          <w:rFonts w:ascii="Times New Roman" w:eastAsia="宋体" w:hAnsi="Times New Roman" w:hint="eastAsia"/>
          <w:sz w:val="24"/>
          <w:szCs w:val="24"/>
        </w:rPr>
        <w:t>为</w:t>
      </w:r>
      <w:r w:rsidR="00B86B28">
        <w:rPr>
          <w:rFonts w:ascii="Times New Roman" w:eastAsia="宋体" w:hAnsi="Times New Roman" w:hint="eastAsia"/>
          <w:sz w:val="24"/>
          <w:szCs w:val="24"/>
        </w:rPr>
        <w:t>8</w:t>
      </w:r>
      <w:r w:rsidR="00507845">
        <w:rPr>
          <w:rFonts w:ascii="Times New Roman" w:eastAsia="宋体" w:hAnsi="Times New Roman" w:hint="eastAsia"/>
          <w:sz w:val="24"/>
          <w:szCs w:val="24"/>
        </w:rPr>
        <w:t>。</w:t>
      </w:r>
      <w:r w:rsidR="00F73DCB">
        <w:rPr>
          <w:rFonts w:ascii="Times New Roman" w:eastAsia="宋体" w:hAnsi="Times New Roman" w:hint="eastAsia"/>
          <w:sz w:val="24"/>
          <w:szCs w:val="24"/>
        </w:rPr>
        <w:t>代码详见</w:t>
      </w:r>
      <w:r w:rsidR="00F73DCB">
        <w:rPr>
          <w:rFonts w:ascii="Times New Roman" w:eastAsia="宋体" w:hAnsi="Times New Roman" w:hint="eastAsia"/>
          <w:sz w:val="24"/>
          <w:szCs w:val="24"/>
        </w:rPr>
        <w:t>w</w:t>
      </w:r>
      <w:r w:rsidR="00F73DCB">
        <w:rPr>
          <w:rFonts w:ascii="Times New Roman" w:eastAsia="宋体" w:hAnsi="Times New Roman"/>
          <w:sz w:val="24"/>
          <w:szCs w:val="24"/>
        </w:rPr>
        <w:t>ithCNN.py</w:t>
      </w:r>
      <w:r w:rsidR="00F73DCB">
        <w:rPr>
          <w:rFonts w:ascii="Times New Roman" w:eastAsia="宋体" w:hAnsi="Times New Roman" w:hint="eastAsia"/>
          <w:sz w:val="24"/>
          <w:szCs w:val="24"/>
        </w:rPr>
        <w:t>。</w:t>
      </w:r>
    </w:p>
    <w:p w14:paraId="5075FC71" w14:textId="2BC1679D" w:rsidR="00345BC3" w:rsidRDefault="00027E26" w:rsidP="00FC6CC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C06907">
        <w:rPr>
          <w:rFonts w:ascii="Times New Roman" w:eastAsia="宋体" w:hAnsi="Times New Roman" w:hint="eastAsia"/>
          <w:sz w:val="24"/>
          <w:szCs w:val="24"/>
        </w:rPr>
        <w:t>按照比赛官方划定的训练集、测试集、验证集，训练后的</w:t>
      </w:r>
      <w:r w:rsidR="00C06907">
        <w:rPr>
          <w:rFonts w:ascii="Times New Roman" w:eastAsia="宋体" w:hAnsi="Times New Roman" w:hint="eastAsia"/>
          <w:sz w:val="24"/>
          <w:szCs w:val="24"/>
        </w:rPr>
        <w:t>CNN</w:t>
      </w:r>
      <w:r w:rsidR="00C06907">
        <w:rPr>
          <w:rFonts w:ascii="Times New Roman" w:eastAsia="宋体" w:hAnsi="Times New Roman" w:hint="eastAsia"/>
          <w:sz w:val="24"/>
          <w:szCs w:val="24"/>
        </w:rPr>
        <w:t>的预测结果与真值的比较如图</w:t>
      </w:r>
      <w:r w:rsidR="00C06907">
        <w:rPr>
          <w:rFonts w:ascii="Times New Roman" w:eastAsia="宋体" w:hAnsi="Times New Roman" w:hint="eastAsia"/>
          <w:sz w:val="24"/>
          <w:szCs w:val="24"/>
        </w:rPr>
        <w:t>1</w:t>
      </w:r>
      <w:r w:rsidR="00C06907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35B0C7E7" w14:textId="5995FCC4" w:rsidR="00345BC3" w:rsidRDefault="00345BC3" w:rsidP="00345BC3">
      <w:pPr>
        <w:spacing w:line="30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2D7021E5" wp14:editId="500E6CE5">
            <wp:extent cx="2445907" cy="1834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37" cy="18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4DE24DA7" wp14:editId="71F1206A">
            <wp:extent cx="2486247" cy="186483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37" cy="18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E09D" w14:textId="41C3DA3A" w:rsidR="00345BC3" w:rsidRPr="00EF6398" w:rsidRDefault="00345BC3" w:rsidP="00345BC3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EF6398">
        <w:rPr>
          <w:rFonts w:ascii="Times New Roman" w:eastAsia="宋体" w:hAnsi="Times New Roman" w:hint="eastAsia"/>
          <w:szCs w:val="21"/>
        </w:rPr>
        <w:t>图</w:t>
      </w:r>
      <w:r w:rsidRPr="00EF6398">
        <w:rPr>
          <w:rFonts w:ascii="Times New Roman" w:eastAsia="宋体" w:hAnsi="Times New Roman" w:hint="eastAsia"/>
          <w:szCs w:val="21"/>
        </w:rPr>
        <w:t>1</w:t>
      </w:r>
      <w:r w:rsidRPr="00EF6398">
        <w:rPr>
          <w:rFonts w:ascii="Times New Roman" w:eastAsia="宋体" w:hAnsi="Times New Roman"/>
          <w:szCs w:val="21"/>
        </w:rPr>
        <w:t xml:space="preserve"> </w:t>
      </w:r>
      <w:r w:rsidR="00EF6398" w:rsidRPr="00EF6398">
        <w:rPr>
          <w:rFonts w:ascii="Times New Roman" w:eastAsia="宋体" w:hAnsi="Times New Roman" w:hint="eastAsia"/>
          <w:szCs w:val="21"/>
        </w:rPr>
        <w:t>（</w:t>
      </w:r>
      <w:r w:rsidR="00EF6398" w:rsidRPr="00EF6398">
        <w:rPr>
          <w:rFonts w:ascii="Times New Roman" w:eastAsia="宋体" w:hAnsi="Times New Roman" w:hint="eastAsia"/>
          <w:szCs w:val="21"/>
        </w:rPr>
        <w:t>a</w:t>
      </w:r>
      <w:r w:rsidR="00EF6398" w:rsidRPr="00EF6398">
        <w:rPr>
          <w:rFonts w:ascii="Times New Roman" w:eastAsia="宋体" w:hAnsi="Times New Roman" w:hint="eastAsia"/>
          <w:szCs w:val="21"/>
        </w:rPr>
        <w:t>）</w:t>
      </w:r>
      <w:r w:rsidRPr="00EF6398">
        <w:rPr>
          <w:rFonts w:ascii="Times New Roman" w:eastAsia="宋体" w:hAnsi="Times New Roman" w:hint="eastAsia"/>
          <w:szCs w:val="21"/>
        </w:rPr>
        <w:t>CNN</w:t>
      </w:r>
      <w:r w:rsidRPr="00EF6398">
        <w:rPr>
          <w:rFonts w:ascii="Times New Roman" w:eastAsia="宋体" w:hAnsi="Times New Roman" w:hint="eastAsia"/>
          <w:szCs w:val="21"/>
        </w:rPr>
        <w:t>训练结果与</w:t>
      </w:r>
      <w:r w:rsidR="00EF6398" w:rsidRPr="00EF6398">
        <w:rPr>
          <w:rFonts w:ascii="Times New Roman" w:eastAsia="宋体" w:hAnsi="Times New Roman" w:hint="eastAsia"/>
          <w:szCs w:val="21"/>
        </w:rPr>
        <w:t>（</w:t>
      </w:r>
      <w:r w:rsidR="00EF6398" w:rsidRPr="00EF6398">
        <w:rPr>
          <w:rFonts w:ascii="Times New Roman" w:eastAsia="宋体" w:hAnsi="Times New Roman" w:hint="eastAsia"/>
          <w:szCs w:val="21"/>
        </w:rPr>
        <w:t>b</w:t>
      </w:r>
      <w:r w:rsidR="00EF6398" w:rsidRPr="00EF6398">
        <w:rPr>
          <w:rFonts w:ascii="Times New Roman" w:eastAsia="宋体" w:hAnsi="Times New Roman" w:hint="eastAsia"/>
          <w:szCs w:val="21"/>
        </w:rPr>
        <w:t>）</w:t>
      </w:r>
      <w:r w:rsidRPr="00EF6398">
        <w:rPr>
          <w:rFonts w:ascii="Times New Roman" w:eastAsia="宋体" w:hAnsi="Times New Roman" w:hint="eastAsia"/>
          <w:szCs w:val="21"/>
        </w:rPr>
        <w:t>训练过程</w:t>
      </w:r>
      <w:r w:rsidR="00EF6398" w:rsidRPr="00EF6398">
        <w:rPr>
          <w:rFonts w:ascii="Times New Roman" w:eastAsia="宋体" w:hAnsi="Times New Roman" w:hint="eastAsia"/>
          <w:szCs w:val="21"/>
        </w:rPr>
        <w:t>中的误差变化</w:t>
      </w:r>
    </w:p>
    <w:p w14:paraId="400B60A3" w14:textId="632B4816" w:rsidR="00710F44" w:rsidRDefault="00C022B3" w:rsidP="00FC6CC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此外，为进一步提高精度，本组成员还尝试了其他的</w:t>
      </w:r>
      <w:r>
        <w:rPr>
          <w:rFonts w:ascii="Times New Roman" w:eastAsia="宋体" w:hAnsi="Times New Roman" w:hint="eastAsia"/>
          <w:sz w:val="24"/>
          <w:szCs w:val="24"/>
        </w:rPr>
        <w:t>CNN</w:t>
      </w:r>
      <w:r>
        <w:rPr>
          <w:rFonts w:ascii="Times New Roman" w:eastAsia="宋体" w:hAnsi="Times New Roman" w:hint="eastAsia"/>
          <w:sz w:val="24"/>
          <w:szCs w:val="24"/>
        </w:rPr>
        <w:t>方法，包括以</w:t>
      </w:r>
      <w:r w:rsidRPr="00454A67">
        <w:rPr>
          <w:rFonts w:ascii="Times New Roman" w:eastAsia="宋体" w:hAnsi="Times New Roman" w:cs="Times New Roman"/>
          <w:sz w:val="24"/>
          <w:szCs w:val="24"/>
        </w:rPr>
        <w:t>Δ</w:t>
      </w:r>
      <w:r>
        <w:rPr>
          <w:rFonts w:ascii="Times New Roman" w:eastAsia="宋体" w:hAnsi="Times New Roman" w:hint="eastAsia"/>
          <w:sz w:val="24"/>
          <w:szCs w:val="24"/>
        </w:rPr>
        <w:t>Q</w:t>
      </w:r>
      <w:r>
        <w:rPr>
          <w:rFonts w:ascii="Times New Roman" w:eastAsia="宋体" w:hAnsi="Times New Roman" w:hint="eastAsia"/>
          <w:sz w:val="24"/>
          <w:szCs w:val="24"/>
          <w:vertAlign w:val="subscript"/>
        </w:rPr>
        <w:t>x</w:t>
      </w:r>
      <w:r w:rsidRPr="00454A67">
        <w:rPr>
          <w:rFonts w:ascii="Times New Roman" w:eastAsia="宋体" w:hAnsi="Times New Roman"/>
          <w:sz w:val="24"/>
          <w:szCs w:val="24"/>
          <w:vertAlign w:val="subscript"/>
        </w:rPr>
        <w:t>-10</w:t>
      </w:r>
      <w:r w:rsidRPr="00C022B3"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x</w:t>
      </w:r>
      <w:r>
        <w:rPr>
          <w:rFonts w:ascii="Times New Roman" w:eastAsia="宋体" w:hAnsi="Times New Roman"/>
          <w:sz w:val="24"/>
          <w:szCs w:val="24"/>
        </w:rPr>
        <w:t>=20, 30, 40, …, 100</w:t>
      </w:r>
      <w:r w:rsidRPr="00C022B3">
        <w:rPr>
          <w:rFonts w:ascii="Times New Roman" w:eastAsia="宋体" w:hAnsi="Times New Roman" w:hint="eastAsia"/>
          <w:sz w:val="24"/>
          <w:szCs w:val="24"/>
        </w:rPr>
        <w:t>）</w:t>
      </w:r>
      <w:r w:rsidR="001E6738">
        <w:rPr>
          <w:rFonts w:ascii="Times New Roman" w:eastAsia="宋体" w:hAnsi="Times New Roman" w:hint="eastAsia"/>
          <w:sz w:val="24"/>
          <w:szCs w:val="24"/>
        </w:rPr>
        <w:t>二维</w:t>
      </w:r>
      <w:r>
        <w:rPr>
          <w:rFonts w:ascii="Times New Roman" w:eastAsia="宋体" w:hAnsi="Times New Roman" w:hint="eastAsia"/>
          <w:sz w:val="24"/>
          <w:szCs w:val="24"/>
        </w:rPr>
        <w:t>矩阵</w:t>
      </w:r>
      <w:r w:rsidR="00545667">
        <w:rPr>
          <w:rFonts w:ascii="Times New Roman" w:eastAsia="宋体" w:hAnsi="Times New Roman" w:hint="eastAsia"/>
          <w:sz w:val="24"/>
          <w:szCs w:val="24"/>
        </w:rPr>
        <w:t>为输入</w:t>
      </w:r>
      <w:r w:rsidR="001E6738">
        <w:rPr>
          <w:rFonts w:ascii="Times New Roman" w:eastAsia="宋体" w:hAnsi="Times New Roman" w:hint="eastAsia"/>
          <w:sz w:val="24"/>
          <w:szCs w:val="24"/>
        </w:rPr>
        <w:t>的方法以及</w:t>
      </w:r>
      <w:r w:rsidR="001E6738">
        <w:rPr>
          <w:rFonts w:ascii="Times New Roman" w:eastAsia="宋体" w:hAnsi="Times New Roman" w:hint="eastAsia"/>
          <w:sz w:val="24"/>
          <w:szCs w:val="24"/>
        </w:rPr>
        <w:t>CNN+LSTM</w:t>
      </w:r>
      <w:r w:rsidR="001E6738">
        <w:rPr>
          <w:rFonts w:ascii="Times New Roman" w:eastAsia="宋体" w:hAnsi="Times New Roman" w:hint="eastAsia"/>
          <w:sz w:val="24"/>
          <w:szCs w:val="24"/>
        </w:rPr>
        <w:t>的方法。然而这些方法都仅能达到</w:t>
      </w:r>
      <w:r w:rsidR="001E6738">
        <w:rPr>
          <w:rFonts w:ascii="Times New Roman" w:eastAsia="宋体" w:hAnsi="Times New Roman" w:hint="eastAsia"/>
          <w:sz w:val="24"/>
          <w:szCs w:val="24"/>
        </w:rPr>
        <w:t>1</w:t>
      </w:r>
      <w:r w:rsidR="001E6738">
        <w:rPr>
          <w:rFonts w:ascii="Times New Roman" w:eastAsia="宋体" w:hAnsi="Times New Roman"/>
          <w:sz w:val="24"/>
          <w:szCs w:val="24"/>
        </w:rPr>
        <w:t>0</w:t>
      </w:r>
      <w:r w:rsidR="001E6738">
        <w:rPr>
          <w:rFonts w:ascii="Times New Roman" w:eastAsia="宋体" w:hAnsi="Times New Roman" w:hint="eastAsia"/>
          <w:sz w:val="24"/>
          <w:szCs w:val="24"/>
        </w:rPr>
        <w:t>%</w:t>
      </w:r>
      <w:r w:rsidR="001E6738">
        <w:rPr>
          <w:rFonts w:ascii="Times New Roman" w:eastAsia="宋体" w:hAnsi="Times New Roman" w:hint="eastAsia"/>
          <w:sz w:val="24"/>
          <w:szCs w:val="24"/>
        </w:rPr>
        <w:t>附近的测试集精度，故这里不再赘述，可参见</w:t>
      </w:r>
      <w:r w:rsidR="001E6738">
        <w:rPr>
          <w:rFonts w:ascii="Times New Roman" w:eastAsia="宋体" w:hAnsi="Times New Roman" w:hint="eastAsia"/>
          <w:sz w:val="24"/>
          <w:szCs w:val="24"/>
        </w:rPr>
        <w:t>withCNN_</w:t>
      </w:r>
      <w:r w:rsidR="001E6738">
        <w:rPr>
          <w:rFonts w:ascii="Times New Roman" w:eastAsia="宋体" w:hAnsi="Times New Roman"/>
          <w:sz w:val="24"/>
          <w:szCs w:val="24"/>
        </w:rPr>
        <w:t>2d.py</w:t>
      </w:r>
      <w:r w:rsidR="001E6738">
        <w:rPr>
          <w:rFonts w:ascii="Times New Roman" w:eastAsia="宋体" w:hAnsi="Times New Roman" w:hint="eastAsia"/>
          <w:sz w:val="24"/>
          <w:szCs w:val="24"/>
        </w:rPr>
        <w:t>。</w:t>
      </w:r>
    </w:p>
    <w:p w14:paraId="465C2766" w14:textId="0A0BC263" w:rsidR="00233288" w:rsidRDefault="00A715C8" w:rsidP="00233288">
      <w:pPr>
        <w:pStyle w:val="1"/>
        <w:numPr>
          <w:ilvl w:val="0"/>
          <w:numId w:val="2"/>
        </w:numPr>
        <w:ind w:left="720" w:hanging="720"/>
      </w:pPr>
      <w:r>
        <w:rPr>
          <w:rFonts w:hint="eastAsia"/>
        </w:rPr>
        <w:t>长短寿命模型分离的弹性网络法</w:t>
      </w:r>
    </w:p>
    <w:p w14:paraId="4BA10857" w14:textId="4F26CB13" w:rsidR="00AA52F0" w:rsidRPr="00D5429E" w:rsidRDefault="00AA52F0" w:rsidP="00D5429E">
      <w:pPr>
        <w:pStyle w:val="2"/>
        <w:spacing w:before="0" w:after="0" w:line="300" w:lineRule="auto"/>
        <w:rPr>
          <w:sz w:val="28"/>
          <w:szCs w:val="28"/>
        </w:rPr>
      </w:pPr>
      <w:r w:rsidRPr="00D5429E">
        <w:rPr>
          <w:rFonts w:hint="eastAsia"/>
          <w:sz w:val="28"/>
          <w:szCs w:val="28"/>
        </w:rPr>
        <w:t>3</w:t>
      </w:r>
      <w:r w:rsidRPr="00D5429E">
        <w:rPr>
          <w:sz w:val="28"/>
          <w:szCs w:val="28"/>
        </w:rPr>
        <w:t xml:space="preserve">.1 </w:t>
      </w:r>
      <w:r w:rsidRPr="00D5429E">
        <w:rPr>
          <w:rFonts w:hint="eastAsia"/>
          <w:sz w:val="28"/>
          <w:szCs w:val="28"/>
        </w:rPr>
        <w:t>现象1：训练集与测试集的</w:t>
      </w:r>
      <w:r w:rsidR="00D5429E">
        <w:rPr>
          <w:rFonts w:hint="eastAsia"/>
          <w:sz w:val="28"/>
          <w:szCs w:val="28"/>
        </w:rPr>
        <w:t>不同</w:t>
      </w:r>
    </w:p>
    <w:p w14:paraId="58604EDE" w14:textId="34A8D285" w:rsidR="00233288" w:rsidRDefault="006139D3" w:rsidP="00233288">
      <w:pPr>
        <w:spacing w:line="30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CNN</w:t>
      </w:r>
      <w:r>
        <w:rPr>
          <w:rFonts w:ascii="Times New Roman" w:eastAsia="宋体" w:hAnsi="Times New Roman" w:hint="eastAsia"/>
          <w:sz w:val="24"/>
          <w:szCs w:val="24"/>
        </w:rPr>
        <w:t>法基础上，</w:t>
      </w:r>
      <w:r w:rsidR="00443776">
        <w:rPr>
          <w:rFonts w:ascii="Times New Roman" w:eastAsia="宋体" w:hAnsi="Times New Roman" w:hint="eastAsia"/>
          <w:sz w:val="24"/>
          <w:szCs w:val="24"/>
        </w:rPr>
        <w:t>测试集</w:t>
      </w:r>
      <w:r>
        <w:rPr>
          <w:rFonts w:ascii="Times New Roman" w:eastAsia="宋体" w:hAnsi="Times New Roman" w:hint="eastAsia"/>
          <w:sz w:val="24"/>
          <w:szCs w:val="24"/>
        </w:rPr>
        <w:t>误差之所以难以进一步下降，究其原因是训练集电池与测试集电池存在某些不同。</w:t>
      </w:r>
      <w:r w:rsidR="00AB26FE">
        <w:rPr>
          <w:rFonts w:ascii="Times New Roman" w:eastAsia="宋体" w:hAnsi="Times New Roman" w:hint="eastAsia"/>
          <w:sz w:val="24"/>
          <w:szCs w:val="24"/>
        </w:rPr>
        <w:t>这里观察到两个现象：</w:t>
      </w:r>
    </w:p>
    <w:p w14:paraId="1A9777F5" w14:textId="735A9B73" w:rsidR="00AB26FE" w:rsidRPr="00EA24CC" w:rsidRDefault="00F52278" w:rsidP="00EA24CC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A24CC">
        <w:rPr>
          <w:rFonts w:ascii="Times New Roman" w:eastAsia="宋体" w:hAnsi="Times New Roman" w:hint="eastAsia"/>
          <w:sz w:val="24"/>
          <w:szCs w:val="24"/>
        </w:rPr>
        <w:t>训练集、验证集的电池寿命总体偏低，而测试集的电池寿命整体偏高。例如，训练集中，寿命超过</w:t>
      </w:r>
      <w:r w:rsidRPr="00EA24CC">
        <w:rPr>
          <w:rFonts w:ascii="Times New Roman" w:eastAsia="宋体" w:hAnsi="Times New Roman" w:hint="eastAsia"/>
          <w:sz w:val="24"/>
          <w:szCs w:val="24"/>
        </w:rPr>
        <w:t>1</w:t>
      </w:r>
      <w:r w:rsidRPr="00EA24CC">
        <w:rPr>
          <w:rFonts w:ascii="Times New Roman" w:eastAsia="宋体" w:hAnsi="Times New Roman"/>
          <w:sz w:val="24"/>
          <w:szCs w:val="24"/>
        </w:rPr>
        <w:t xml:space="preserve">000 </w:t>
      </w:r>
      <w:r w:rsidRPr="00EA24CC">
        <w:rPr>
          <w:rFonts w:ascii="Times New Roman" w:eastAsia="宋体" w:hAnsi="Times New Roman" w:hint="eastAsia"/>
          <w:sz w:val="24"/>
          <w:szCs w:val="24"/>
        </w:rPr>
        <w:t>CYC</w:t>
      </w:r>
      <w:r w:rsidRPr="00EA24CC">
        <w:rPr>
          <w:rFonts w:ascii="Times New Roman" w:eastAsia="宋体" w:hAnsi="Times New Roman" w:hint="eastAsia"/>
          <w:sz w:val="24"/>
          <w:szCs w:val="24"/>
        </w:rPr>
        <w:t>的电池仅占</w:t>
      </w:r>
      <w:r w:rsidR="00426513" w:rsidRPr="00EA24CC">
        <w:rPr>
          <w:rFonts w:ascii="Times New Roman" w:eastAsia="宋体" w:hAnsi="Times New Roman" w:hint="eastAsia"/>
          <w:sz w:val="24"/>
          <w:szCs w:val="24"/>
        </w:rPr>
        <w:t>9%</w:t>
      </w:r>
      <w:r w:rsidRPr="00EA24CC">
        <w:rPr>
          <w:rFonts w:ascii="Times New Roman" w:eastAsia="宋体" w:hAnsi="Times New Roman" w:hint="eastAsia"/>
          <w:sz w:val="24"/>
          <w:szCs w:val="24"/>
        </w:rPr>
        <w:t>，而测试集中占</w:t>
      </w:r>
      <w:r w:rsidR="00426513" w:rsidRPr="00EA24CC">
        <w:rPr>
          <w:rFonts w:ascii="Times New Roman" w:eastAsia="宋体" w:hAnsi="Times New Roman" w:hint="eastAsia"/>
          <w:sz w:val="24"/>
          <w:szCs w:val="24"/>
        </w:rPr>
        <w:t>4</w:t>
      </w:r>
      <w:r w:rsidR="00426513" w:rsidRPr="00EA24CC">
        <w:rPr>
          <w:rFonts w:ascii="Times New Roman" w:eastAsia="宋体" w:hAnsi="Times New Roman"/>
          <w:sz w:val="24"/>
          <w:szCs w:val="24"/>
        </w:rPr>
        <w:t>8</w:t>
      </w:r>
      <w:r w:rsidR="00426513" w:rsidRPr="00EA24CC">
        <w:rPr>
          <w:rFonts w:ascii="Times New Roman" w:eastAsia="宋体" w:hAnsi="Times New Roman" w:hint="eastAsia"/>
          <w:sz w:val="24"/>
          <w:szCs w:val="24"/>
        </w:rPr>
        <w:t>%</w:t>
      </w:r>
      <w:r w:rsidRPr="00EA24CC">
        <w:rPr>
          <w:rFonts w:ascii="Times New Roman" w:eastAsia="宋体" w:hAnsi="Times New Roman" w:hint="eastAsia"/>
          <w:sz w:val="24"/>
          <w:szCs w:val="24"/>
        </w:rPr>
        <w:t>。</w:t>
      </w:r>
      <w:r w:rsidR="00426513" w:rsidRPr="00EA24CC">
        <w:rPr>
          <w:rFonts w:ascii="Times New Roman" w:eastAsia="宋体" w:hAnsi="Times New Roman" w:hint="eastAsia"/>
          <w:sz w:val="24"/>
          <w:szCs w:val="24"/>
        </w:rPr>
        <w:t>这便</w:t>
      </w:r>
      <w:r w:rsidR="00CB5BEC" w:rsidRPr="00EA24CC">
        <w:rPr>
          <w:rFonts w:ascii="Times New Roman" w:eastAsia="宋体" w:hAnsi="Times New Roman" w:hint="eastAsia"/>
          <w:sz w:val="24"/>
          <w:szCs w:val="24"/>
        </w:rPr>
        <w:t>导致基于训练集很难学习到长寿命电池的某些特性。</w:t>
      </w:r>
    </w:p>
    <w:p w14:paraId="0F7AF37E" w14:textId="2D8D0235" w:rsidR="00AA52F0" w:rsidRPr="00AA52F0" w:rsidRDefault="001F6A5D" w:rsidP="00AA52F0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无论是本文的图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，还是原论文中的图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，以及使用原论文数据进行研究的参考文献</w:t>
      </w:r>
      <w:r w:rsidR="007E4614">
        <w:rPr>
          <w:rFonts w:ascii="Times New Roman" w:eastAsia="宋体" w:hAnsi="Times New Roman"/>
          <w:sz w:val="24"/>
          <w:szCs w:val="24"/>
        </w:rPr>
        <w:fldChar w:fldCharType="begin"/>
      </w:r>
      <w:r w:rsidR="007E4614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7E4614">
        <w:rPr>
          <w:rFonts w:ascii="Times New Roman" w:eastAsia="宋体" w:hAnsi="Times New Roman" w:hint="eastAsia"/>
          <w:sz w:val="24"/>
          <w:szCs w:val="24"/>
        </w:rPr>
        <w:instrText>REF _Ref110019684 \r \h</w:instrText>
      </w:r>
      <w:r w:rsidR="007E4614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7E4614">
        <w:rPr>
          <w:rFonts w:ascii="Times New Roman" w:eastAsia="宋体" w:hAnsi="Times New Roman"/>
          <w:sz w:val="24"/>
          <w:szCs w:val="24"/>
        </w:rPr>
      </w:r>
      <w:r w:rsidR="007E4614">
        <w:rPr>
          <w:rFonts w:ascii="Times New Roman" w:eastAsia="宋体" w:hAnsi="Times New Roman"/>
          <w:sz w:val="24"/>
          <w:szCs w:val="24"/>
        </w:rPr>
        <w:fldChar w:fldCharType="separate"/>
      </w:r>
      <w:r w:rsidR="007E4614">
        <w:rPr>
          <w:rFonts w:ascii="Times New Roman" w:eastAsia="宋体" w:hAnsi="Times New Roman"/>
          <w:sz w:val="24"/>
          <w:szCs w:val="24"/>
        </w:rPr>
        <w:t>[1]</w:t>
      </w:r>
      <w:r w:rsidR="007E4614">
        <w:rPr>
          <w:rFonts w:ascii="Times New Roman" w:eastAsia="宋体" w:hAnsi="Times New Roman"/>
          <w:sz w:val="24"/>
          <w:szCs w:val="24"/>
        </w:rPr>
        <w:fldChar w:fldCharType="end"/>
      </w:r>
      <w:r w:rsidR="001F0F19">
        <w:rPr>
          <w:rFonts w:ascii="Times New Roman" w:eastAsia="宋体" w:hAnsi="Times New Roman" w:hint="eastAsia"/>
          <w:sz w:val="24"/>
          <w:szCs w:val="24"/>
        </w:rPr>
        <w:t>中的图</w:t>
      </w:r>
      <w:r w:rsidR="00FD5E6A"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，都能观察到</w:t>
      </w:r>
      <w:r w:rsidR="0072146F">
        <w:rPr>
          <w:rFonts w:ascii="Times New Roman" w:eastAsia="宋体" w:hAnsi="Times New Roman" w:hint="eastAsia"/>
          <w:sz w:val="24"/>
          <w:szCs w:val="24"/>
        </w:rPr>
        <w:t>测试集寿命最长的</w:t>
      </w:r>
      <w:r w:rsidR="0072146F">
        <w:rPr>
          <w:rFonts w:ascii="Times New Roman" w:eastAsia="宋体" w:hAnsi="Times New Roman" w:hint="eastAsia"/>
          <w:sz w:val="24"/>
          <w:szCs w:val="24"/>
        </w:rPr>
        <w:t>3</w:t>
      </w:r>
      <w:r w:rsidR="0072146F">
        <w:rPr>
          <w:rFonts w:ascii="Times New Roman" w:eastAsia="宋体" w:hAnsi="Times New Roman" w:hint="eastAsia"/>
          <w:sz w:val="24"/>
          <w:szCs w:val="24"/>
        </w:rPr>
        <w:t>个电池的</w:t>
      </w:r>
      <w:r w:rsidR="000D1341">
        <w:rPr>
          <w:rFonts w:ascii="Times New Roman" w:eastAsia="宋体" w:hAnsi="Times New Roman" w:hint="eastAsia"/>
          <w:sz w:val="24"/>
          <w:szCs w:val="24"/>
        </w:rPr>
        <w:t>估计精度是测试集中最差的。</w:t>
      </w:r>
      <w:r w:rsidR="00567065">
        <w:rPr>
          <w:rFonts w:ascii="Times New Roman" w:eastAsia="宋体" w:hAnsi="Times New Roman" w:hint="eastAsia"/>
          <w:sz w:val="24"/>
          <w:szCs w:val="24"/>
        </w:rPr>
        <w:t>且三篇文章中的模型均低估了这</w:t>
      </w:r>
      <w:r w:rsidR="00567065">
        <w:rPr>
          <w:rFonts w:ascii="Times New Roman" w:eastAsia="宋体" w:hAnsi="Times New Roman" w:hint="eastAsia"/>
          <w:sz w:val="24"/>
          <w:szCs w:val="24"/>
        </w:rPr>
        <w:t>3</w:t>
      </w:r>
      <w:r w:rsidR="00567065">
        <w:rPr>
          <w:rFonts w:ascii="Times New Roman" w:eastAsia="宋体" w:hAnsi="Times New Roman" w:hint="eastAsia"/>
          <w:sz w:val="24"/>
          <w:szCs w:val="24"/>
        </w:rPr>
        <w:t>个电池的寿命。</w:t>
      </w:r>
      <w:r w:rsidR="000D1341">
        <w:rPr>
          <w:rFonts w:ascii="Times New Roman" w:eastAsia="宋体" w:hAnsi="Times New Roman" w:hint="eastAsia"/>
          <w:sz w:val="24"/>
          <w:szCs w:val="24"/>
        </w:rPr>
        <w:t>这也印证了现象（</w:t>
      </w:r>
      <w:r w:rsidR="000D1341">
        <w:rPr>
          <w:rFonts w:ascii="Times New Roman" w:eastAsia="宋体" w:hAnsi="Times New Roman" w:hint="eastAsia"/>
          <w:sz w:val="24"/>
          <w:szCs w:val="24"/>
        </w:rPr>
        <w:t>1</w:t>
      </w:r>
      <w:r w:rsidR="000D1341">
        <w:rPr>
          <w:rFonts w:ascii="Times New Roman" w:eastAsia="宋体" w:hAnsi="Times New Roman" w:hint="eastAsia"/>
          <w:sz w:val="24"/>
          <w:szCs w:val="24"/>
        </w:rPr>
        <w:t>）中提到的观点。</w:t>
      </w:r>
    </w:p>
    <w:p w14:paraId="0E794C90" w14:textId="13DFE5AE" w:rsidR="001E6738" w:rsidRPr="00C022B3" w:rsidRDefault="003A6719" w:rsidP="003A6719">
      <w:pPr>
        <w:spacing w:line="30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因此我们认为，在不改变训练集、测试集划分方式的前提下，很难通过设计机器学习方法或选取合适的特征，使得</w:t>
      </w:r>
      <w:r w:rsidR="00DF0E32">
        <w:rPr>
          <w:rFonts w:ascii="Times New Roman" w:eastAsia="宋体" w:hAnsi="Times New Roman" w:hint="eastAsia"/>
          <w:sz w:val="24"/>
          <w:szCs w:val="24"/>
        </w:rPr>
        <w:t>测试集误差有明显的下降。</w:t>
      </w:r>
    </w:p>
    <w:p w14:paraId="59B35E0E" w14:textId="3DC99AC0" w:rsidR="00FB40CD" w:rsidRPr="00D5429E" w:rsidRDefault="00FB40CD" w:rsidP="00FB40CD">
      <w:pPr>
        <w:pStyle w:val="2"/>
        <w:spacing w:before="0" w:after="0" w:line="300" w:lineRule="auto"/>
        <w:rPr>
          <w:sz w:val="28"/>
          <w:szCs w:val="28"/>
        </w:rPr>
      </w:pPr>
      <w:r w:rsidRPr="00D5429E">
        <w:rPr>
          <w:rFonts w:hint="eastAsia"/>
          <w:sz w:val="28"/>
          <w:szCs w:val="28"/>
        </w:rPr>
        <w:t>3</w:t>
      </w:r>
      <w:r w:rsidRPr="00D5429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5429E">
        <w:rPr>
          <w:sz w:val="28"/>
          <w:szCs w:val="28"/>
        </w:rPr>
        <w:t xml:space="preserve"> </w:t>
      </w:r>
      <w:r w:rsidRPr="00D5429E">
        <w:rPr>
          <w:rFonts w:hint="eastAsia"/>
          <w:sz w:val="28"/>
          <w:szCs w:val="28"/>
        </w:rPr>
        <w:t>现象</w:t>
      </w:r>
      <w:r>
        <w:rPr>
          <w:sz w:val="28"/>
          <w:szCs w:val="28"/>
        </w:rPr>
        <w:t>2</w:t>
      </w:r>
      <w:r w:rsidRPr="00D5429E">
        <w:rPr>
          <w:rFonts w:hint="eastAsia"/>
          <w:sz w:val="28"/>
          <w:szCs w:val="28"/>
        </w:rPr>
        <w:t>：</w:t>
      </w:r>
      <w:r w:rsidR="00B3144D">
        <w:rPr>
          <w:rFonts w:hint="eastAsia"/>
          <w:sz w:val="28"/>
          <w:szCs w:val="28"/>
        </w:rPr>
        <w:t>长寿命电池与短寿命电池的</w:t>
      </w:r>
      <w:r w:rsidR="00EA3A28">
        <w:rPr>
          <w:rFonts w:hint="eastAsia"/>
          <w:sz w:val="28"/>
          <w:szCs w:val="28"/>
        </w:rPr>
        <w:t>不同</w:t>
      </w:r>
    </w:p>
    <w:p w14:paraId="569C0753" w14:textId="0DA742EB" w:rsidR="00256890" w:rsidRDefault="00F976E4" w:rsidP="00C97789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B7580A">
        <w:rPr>
          <w:rFonts w:ascii="Times New Roman" w:eastAsia="宋体" w:hAnsi="Times New Roman" w:hint="eastAsia"/>
          <w:sz w:val="24"/>
          <w:szCs w:val="24"/>
        </w:rPr>
        <w:t>此外我们通过特征相关性分析的方法发现一种现象：</w:t>
      </w:r>
      <w:r w:rsidR="00580340">
        <w:rPr>
          <w:rFonts w:ascii="Times New Roman" w:eastAsia="宋体" w:hAnsi="Times New Roman" w:hint="eastAsia"/>
          <w:sz w:val="24"/>
          <w:szCs w:val="24"/>
        </w:rPr>
        <w:t>若衡量某早期特征对</w:t>
      </w:r>
      <w:r w:rsidR="007B7672">
        <w:rPr>
          <w:rFonts w:ascii="Times New Roman" w:eastAsia="宋体" w:hAnsi="Times New Roman" w:hint="eastAsia"/>
          <w:sz w:val="24"/>
          <w:szCs w:val="24"/>
        </w:rPr>
        <w:t>寿命</w:t>
      </w:r>
      <w:r w:rsidR="00580340">
        <w:rPr>
          <w:rFonts w:ascii="Times New Roman" w:eastAsia="宋体" w:hAnsi="Times New Roman" w:hint="eastAsia"/>
          <w:sz w:val="24"/>
          <w:szCs w:val="24"/>
        </w:rPr>
        <w:t>的相关性，会发现对于长寿命电池和短寿命电池，这种相关性很可能是不同的，甚至是相反的。例如，</w:t>
      </w:r>
      <w:r w:rsidR="00817FE6">
        <w:rPr>
          <w:rFonts w:ascii="Times New Roman" w:eastAsia="宋体" w:hAnsi="Times New Roman" w:hint="eastAsia"/>
          <w:sz w:val="24"/>
          <w:szCs w:val="24"/>
        </w:rPr>
        <w:t>原文中提到的“第</w:t>
      </w:r>
      <w:r w:rsidR="00817FE6">
        <w:rPr>
          <w:rFonts w:ascii="Times New Roman" w:eastAsia="宋体" w:hAnsi="Times New Roman" w:hint="eastAsia"/>
          <w:sz w:val="24"/>
          <w:szCs w:val="24"/>
        </w:rPr>
        <w:t>2~</w:t>
      </w:r>
      <w:r w:rsidR="00817FE6">
        <w:rPr>
          <w:rFonts w:ascii="Times New Roman" w:eastAsia="宋体" w:hAnsi="Times New Roman"/>
          <w:sz w:val="24"/>
          <w:szCs w:val="24"/>
        </w:rPr>
        <w:t>100</w:t>
      </w:r>
      <w:r w:rsidR="00817FE6">
        <w:rPr>
          <w:rFonts w:ascii="Times New Roman" w:eastAsia="宋体" w:hAnsi="Times New Roman" w:hint="eastAsia"/>
          <w:sz w:val="24"/>
          <w:szCs w:val="24"/>
        </w:rPr>
        <w:t xml:space="preserve"> CYC</w:t>
      </w:r>
      <w:r w:rsidR="00817FE6">
        <w:rPr>
          <w:rFonts w:ascii="Times New Roman" w:eastAsia="宋体" w:hAnsi="Times New Roman" w:hint="eastAsia"/>
          <w:sz w:val="24"/>
          <w:szCs w:val="24"/>
        </w:rPr>
        <w:t>的容量衰减曲线的线性斜率”特征，对于长寿命电池呈现出很小的负相关性（相关系数为</w:t>
      </w:r>
      <w:r w:rsidR="00817FE6">
        <w:rPr>
          <w:rFonts w:ascii="Times New Roman" w:eastAsia="宋体" w:hAnsi="Times New Roman" w:hint="eastAsia"/>
          <w:sz w:val="24"/>
          <w:szCs w:val="24"/>
        </w:rPr>
        <w:t>-</w:t>
      </w:r>
      <w:r w:rsidR="00817FE6">
        <w:rPr>
          <w:rFonts w:ascii="Times New Roman" w:eastAsia="宋体" w:hAnsi="Times New Roman"/>
          <w:sz w:val="24"/>
          <w:szCs w:val="24"/>
        </w:rPr>
        <w:t>0.086</w:t>
      </w:r>
      <w:r w:rsidR="00817FE6">
        <w:rPr>
          <w:rFonts w:ascii="Times New Roman" w:eastAsia="宋体" w:hAnsi="Times New Roman" w:hint="eastAsia"/>
          <w:sz w:val="24"/>
          <w:szCs w:val="24"/>
        </w:rPr>
        <w:t>），而对短寿命电池呈现出较大的正相关性（相关系数为</w:t>
      </w:r>
      <w:r w:rsidR="00817FE6">
        <w:rPr>
          <w:rFonts w:ascii="Times New Roman" w:eastAsia="宋体" w:hAnsi="Times New Roman" w:hint="eastAsia"/>
          <w:sz w:val="24"/>
          <w:szCs w:val="24"/>
        </w:rPr>
        <w:t>0</w:t>
      </w:r>
      <w:r w:rsidR="00817FE6">
        <w:rPr>
          <w:rFonts w:ascii="Times New Roman" w:eastAsia="宋体" w:hAnsi="Times New Roman"/>
          <w:sz w:val="24"/>
          <w:szCs w:val="24"/>
        </w:rPr>
        <w:t>.49</w:t>
      </w:r>
      <w:r w:rsidR="00817FE6">
        <w:rPr>
          <w:rFonts w:ascii="Times New Roman" w:eastAsia="宋体" w:hAnsi="Times New Roman" w:hint="eastAsia"/>
          <w:sz w:val="24"/>
          <w:szCs w:val="24"/>
        </w:rPr>
        <w:t>）</w:t>
      </w:r>
      <w:r w:rsidR="00BA7817">
        <w:rPr>
          <w:rFonts w:ascii="Times New Roman" w:eastAsia="宋体" w:hAnsi="Times New Roman" w:hint="eastAsia"/>
          <w:sz w:val="24"/>
          <w:szCs w:val="24"/>
        </w:rPr>
        <w:t>。</w:t>
      </w:r>
      <w:r w:rsidR="00276074">
        <w:rPr>
          <w:rFonts w:ascii="Times New Roman" w:eastAsia="宋体" w:hAnsi="Times New Roman" w:hint="eastAsia"/>
          <w:sz w:val="24"/>
          <w:szCs w:val="24"/>
        </w:rPr>
        <w:t>更具体的分析请见表</w:t>
      </w:r>
      <w:r w:rsidR="00276074">
        <w:rPr>
          <w:rFonts w:ascii="Times New Roman" w:eastAsia="宋体" w:hAnsi="Times New Roman" w:hint="eastAsia"/>
          <w:sz w:val="24"/>
          <w:szCs w:val="24"/>
        </w:rPr>
        <w:t>3</w:t>
      </w:r>
      <w:r w:rsidR="00276074">
        <w:rPr>
          <w:rFonts w:ascii="Times New Roman" w:eastAsia="宋体" w:hAnsi="Times New Roman" w:hint="eastAsia"/>
          <w:sz w:val="24"/>
          <w:szCs w:val="24"/>
        </w:rPr>
        <w:t>。</w:t>
      </w:r>
      <w:r w:rsidR="006A34D6">
        <w:rPr>
          <w:rFonts w:ascii="Times New Roman" w:eastAsia="宋体" w:hAnsi="Times New Roman" w:hint="eastAsia"/>
          <w:sz w:val="24"/>
          <w:szCs w:val="24"/>
        </w:rPr>
        <w:t>（源码在</w:t>
      </w:r>
      <w:r w:rsidR="006A34D6">
        <w:rPr>
          <w:rFonts w:ascii="Times New Roman" w:eastAsia="宋体" w:hAnsi="Times New Roman" w:hint="eastAsia"/>
          <w:sz w:val="24"/>
          <w:szCs w:val="24"/>
        </w:rPr>
        <w:t>Elanet</w:t>
      </w:r>
      <w:r w:rsidR="006A34D6">
        <w:rPr>
          <w:rFonts w:ascii="Times New Roman" w:eastAsia="宋体" w:hAnsi="Times New Roman"/>
          <w:sz w:val="24"/>
          <w:szCs w:val="24"/>
        </w:rPr>
        <w:t>.py</w:t>
      </w:r>
      <w:r w:rsidR="006A34D6">
        <w:rPr>
          <w:rFonts w:ascii="Times New Roman" w:eastAsia="宋体" w:hAnsi="Times New Roman" w:hint="eastAsia"/>
          <w:sz w:val="24"/>
          <w:szCs w:val="24"/>
        </w:rPr>
        <w:t>）</w:t>
      </w:r>
    </w:p>
    <w:p w14:paraId="46F0796B" w14:textId="0ED9BB49" w:rsidR="00080CCA" w:rsidRPr="00D462E1" w:rsidRDefault="00256890" w:rsidP="00655F90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D462E1">
        <w:rPr>
          <w:rFonts w:ascii="Times New Roman" w:eastAsia="宋体" w:hAnsi="Times New Roman" w:hint="eastAsia"/>
          <w:szCs w:val="21"/>
        </w:rPr>
        <w:t>表</w:t>
      </w:r>
      <w:r w:rsidRPr="00D462E1">
        <w:rPr>
          <w:rFonts w:ascii="Times New Roman" w:eastAsia="宋体" w:hAnsi="Times New Roman" w:hint="eastAsia"/>
          <w:szCs w:val="21"/>
        </w:rPr>
        <w:t>3</w:t>
      </w:r>
      <w:r w:rsidRPr="00D462E1">
        <w:rPr>
          <w:rFonts w:ascii="Times New Roman" w:eastAsia="宋体" w:hAnsi="Times New Roman"/>
          <w:szCs w:val="21"/>
        </w:rPr>
        <w:t xml:space="preserve"> </w:t>
      </w:r>
      <w:r w:rsidR="0052429A" w:rsidRPr="00D462E1">
        <w:rPr>
          <w:rFonts w:ascii="Times New Roman" w:eastAsia="宋体" w:hAnsi="Times New Roman" w:hint="eastAsia"/>
          <w:szCs w:val="21"/>
        </w:rPr>
        <w:t>电池寿命与原文中各特征的相关系数</w:t>
      </w:r>
    </w:p>
    <w:tbl>
      <w:tblPr>
        <w:tblW w:w="8323" w:type="dxa"/>
        <w:tblLook w:val="04A0" w:firstRow="1" w:lastRow="0" w:firstColumn="1" w:lastColumn="0" w:noHBand="0" w:noVBand="1"/>
      </w:tblPr>
      <w:tblGrid>
        <w:gridCol w:w="476"/>
        <w:gridCol w:w="3428"/>
        <w:gridCol w:w="1199"/>
        <w:gridCol w:w="1734"/>
        <w:gridCol w:w="1486"/>
      </w:tblGrid>
      <w:tr w:rsidR="00080CCA" w:rsidRPr="007A0E07" w14:paraId="0C6DF111" w14:textId="77777777" w:rsidTr="00395D35">
        <w:trPr>
          <w:trHeight w:val="56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4D7AEE1" w14:textId="18C3B1DE" w:rsidR="00023578" w:rsidRPr="007A0E07" w:rsidRDefault="00023578" w:rsidP="00080CC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F5B6" w14:textId="0BDEFE8A" w:rsidR="00023578" w:rsidRPr="00023578" w:rsidRDefault="00023578" w:rsidP="007A0E0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95D35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特征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45A5" w14:textId="16241CF2" w:rsidR="00023578" w:rsidRPr="00023578" w:rsidRDefault="00DD630D" w:rsidP="007A0E07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总数据集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E4F2" w14:textId="2CFF8E17" w:rsidR="007A0E07" w:rsidRPr="007A0E07" w:rsidRDefault="007A0E07" w:rsidP="007A0E07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长寿命电池</w:t>
            </w:r>
          </w:p>
          <w:p w14:paraId="00505711" w14:textId="4B6BA4DD" w:rsidR="00023578" w:rsidRPr="00023578" w:rsidRDefault="007A0E07" w:rsidP="007A0E07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r w:rsidR="00023578"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大于1200</w:t>
            </w:r>
            <w:r w:rsidRPr="007A0E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D8C8" w14:textId="1ED5B81D" w:rsidR="00023578" w:rsidRPr="00023578" w:rsidRDefault="007A0E07" w:rsidP="007A0E07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短寿命电池(</w:t>
            </w:r>
            <w:r w:rsidR="00023578"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小于1200</w:t>
            </w:r>
            <w:r w:rsidRPr="007A0E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</w:tr>
      <w:tr w:rsidR="00080CCA" w:rsidRPr="007A0E07" w14:paraId="244008AF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</w:tcPr>
          <w:p w14:paraId="3BF771C1" w14:textId="2819042A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0C5DC29" w14:textId="615CB0CC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ΔQ100-10最小值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7C22671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-0.885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389E357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-0.666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5BE33C19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-0.829</w:t>
            </w:r>
          </w:p>
        </w:tc>
      </w:tr>
      <w:tr w:rsidR="00080CCA" w:rsidRPr="007A0E07" w14:paraId="72ED9E7C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</w:tcPr>
          <w:p w14:paraId="3D4583DA" w14:textId="62C183D1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4799EA7B" w14:textId="1ED3C551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ΔQ100-10方差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844B9D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-0.909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B96E72D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-0.662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72F62E5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-0.869</w:t>
            </w:r>
          </w:p>
        </w:tc>
      </w:tr>
      <w:tr w:rsidR="00080CCA" w:rsidRPr="007A0E07" w14:paraId="2ED0EBC3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3F9F576" w14:textId="34EACA7C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E2C0" w14:textId="2EE00A5A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ΔQ100-10峰度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CFE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0.167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18D9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0.256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1EFE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0.118</w:t>
            </w:r>
          </w:p>
        </w:tc>
      </w:tr>
      <w:tr w:rsidR="00080CCA" w:rsidRPr="007A0E07" w14:paraId="11B009FF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385DFEC" w14:textId="2E66BD8E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16A90" w14:textId="074A96BF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ΔQ100-10偏度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F8E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0.05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06D9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0.317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9D74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0.195</w:t>
            </w:r>
          </w:p>
        </w:tc>
      </w:tr>
      <w:tr w:rsidR="00080CCA" w:rsidRPr="007A0E07" w14:paraId="51B94882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</w:tcPr>
          <w:p w14:paraId="7044D76A" w14:textId="3682C781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97C3FE6" w14:textId="51EC45F6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CAP2~100线性斜率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C5D9B27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0.4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341D69E5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-0.086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77454D3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0.49</w:t>
            </w:r>
          </w:p>
        </w:tc>
      </w:tr>
      <w:tr w:rsidR="00080CCA" w:rsidRPr="007A0E07" w14:paraId="1574A144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1E05D75E" w14:textId="522C6E50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C1F8F6C" w14:textId="1C08F0AD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intercept_lin_fit_2_100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7F5A37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5415C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0.508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7D354E6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-0.18</w:t>
            </w:r>
          </w:p>
        </w:tc>
      </w:tr>
      <w:tr w:rsidR="00080CCA" w:rsidRPr="007A0E07" w14:paraId="292274D5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3DFA46C4" w14:textId="0D90D3B9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65B6873" w14:textId="612405AA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第2周放电容量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A52EF63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-0.061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1E2E24C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0.479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8105521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-0.09</w:t>
            </w:r>
          </w:p>
        </w:tc>
      </w:tr>
      <w:tr w:rsidR="00080CCA" w:rsidRPr="007A0E07" w14:paraId="15FE559D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4D3DC25" w14:textId="08171FD3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E7B9" w14:textId="45799848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diff_discharge_capacity_max_2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BC08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0.036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C3B8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0.143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4BA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0.005</w:t>
            </w:r>
          </w:p>
        </w:tc>
      </w:tr>
      <w:tr w:rsidR="00080CCA" w:rsidRPr="007A0E07" w14:paraId="1EB8EAC8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64655EDE" w14:textId="7A2C9D4B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9272F84" w14:textId="2EB1570D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第2~6周平均放电时间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E064E89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0.476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776694E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0.637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4B29148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0.244</w:t>
            </w:r>
          </w:p>
        </w:tc>
      </w:tr>
      <w:tr w:rsidR="00080CCA" w:rsidRPr="007A0E07" w14:paraId="0E9C7950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370319F" w14:textId="5C1C72C0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7A0E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BE64" w14:textId="1FF55FFD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第2~100周最小内阻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21D8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-0.329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D92E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-0.31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8B15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-0.15</w:t>
            </w:r>
          </w:p>
        </w:tc>
      </w:tr>
      <w:tr w:rsidR="00080CCA" w:rsidRPr="007A0E07" w14:paraId="1DCB5F9C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1CE73476" w14:textId="07F6F08C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7A0E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3E6ACE2" w14:textId="222C69E5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diff_IR_100_2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90DF183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0.238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662A98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0.375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A7CE1DC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0.24</w:t>
            </w:r>
          </w:p>
        </w:tc>
      </w:tr>
      <w:tr w:rsidR="00080CCA" w:rsidRPr="007A0E07" w14:paraId="39E33AA5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6481365" w14:textId="17504E80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7A0E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AFE0" w14:textId="6CD4442B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ΔQ5-4最小值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C7A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-0.194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CA0E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-0.14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31B6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-0.26</w:t>
            </w:r>
          </w:p>
        </w:tc>
      </w:tr>
      <w:tr w:rsidR="00080CCA" w:rsidRPr="007A0E07" w14:paraId="21669B83" w14:textId="77777777" w:rsidTr="00395D35">
        <w:trPr>
          <w:trHeight w:val="34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</w:tcPr>
          <w:p w14:paraId="082D2550" w14:textId="7EB2D6BE" w:rsidR="00023578" w:rsidRPr="007A0E07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A0E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7A0E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D4D984B" w14:textId="361CC13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ΔQ5-4方差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9E5EA95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-0.558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2064400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0.448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56B9CF9" w14:textId="77777777" w:rsidR="00023578" w:rsidRPr="00023578" w:rsidRDefault="00023578" w:rsidP="00023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5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-0.68</w:t>
            </w:r>
          </w:p>
        </w:tc>
      </w:tr>
    </w:tbl>
    <w:p w14:paraId="4E4B3D1E" w14:textId="77777777" w:rsidR="00655F90" w:rsidRPr="009D07FC" w:rsidRDefault="00655F90" w:rsidP="00655F90">
      <w:pP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9D07FC">
        <w:rPr>
          <w:rFonts w:ascii="Times New Roman" w:eastAsia="宋体" w:hAnsi="Times New Roman" w:hint="eastAsia"/>
          <w:szCs w:val="21"/>
        </w:rPr>
        <w:t>注：</w:t>
      </w:r>
    </w:p>
    <w:p w14:paraId="44BCC9CE" w14:textId="664DB5FB" w:rsidR="00655F90" w:rsidRPr="001A6885" w:rsidRDefault="00655F90" w:rsidP="00655F90">
      <w:pPr>
        <w:spacing w:line="300" w:lineRule="auto"/>
        <w:jc w:val="left"/>
        <w:rPr>
          <w:rFonts w:ascii="Times New Roman" w:eastAsia="宋体" w:hAnsi="Times New Roman"/>
          <w:color w:val="ED7D31" w:themeColor="accent2"/>
          <w:szCs w:val="21"/>
        </w:rPr>
      </w:pPr>
      <w:r w:rsidRPr="001A6885">
        <w:rPr>
          <w:rFonts w:ascii="Times New Roman" w:eastAsia="宋体" w:hAnsi="Times New Roman" w:hint="eastAsia"/>
          <w:color w:val="ED7D31" w:themeColor="accent2"/>
          <w:szCs w:val="21"/>
        </w:rPr>
        <w:t>橙色：对长短寿命电池均有较高相关性，且相关性相同</w:t>
      </w:r>
    </w:p>
    <w:p w14:paraId="1996CF36" w14:textId="77777777" w:rsidR="00655F90" w:rsidRPr="001A6885" w:rsidRDefault="00655F90" w:rsidP="00655F90">
      <w:pPr>
        <w:spacing w:line="300" w:lineRule="auto"/>
        <w:jc w:val="left"/>
        <w:rPr>
          <w:rFonts w:ascii="Times New Roman" w:eastAsia="宋体" w:hAnsi="Times New Roman"/>
          <w:color w:val="538135" w:themeColor="accent6" w:themeShade="BF"/>
          <w:szCs w:val="21"/>
        </w:rPr>
      </w:pPr>
      <w:r w:rsidRPr="001A6885">
        <w:rPr>
          <w:rFonts w:ascii="Times New Roman" w:eastAsia="宋体" w:hAnsi="Times New Roman" w:hint="eastAsia"/>
          <w:color w:val="538135" w:themeColor="accent6" w:themeShade="BF"/>
          <w:szCs w:val="21"/>
        </w:rPr>
        <w:t>绿色：仅对短寿命电池有较高相关性</w:t>
      </w:r>
    </w:p>
    <w:p w14:paraId="49980942" w14:textId="77777777" w:rsidR="00655F90" w:rsidRPr="001A6885" w:rsidRDefault="00655F90" w:rsidP="00655F90">
      <w:pPr>
        <w:spacing w:line="300" w:lineRule="auto"/>
        <w:jc w:val="left"/>
        <w:rPr>
          <w:rFonts w:ascii="Times New Roman" w:eastAsia="宋体" w:hAnsi="Times New Roman"/>
          <w:color w:val="2F5496" w:themeColor="accent1" w:themeShade="BF"/>
          <w:szCs w:val="21"/>
        </w:rPr>
      </w:pPr>
      <w:r w:rsidRPr="001A6885">
        <w:rPr>
          <w:rFonts w:ascii="Times New Roman" w:eastAsia="宋体" w:hAnsi="Times New Roman" w:hint="eastAsia"/>
          <w:color w:val="2F5496" w:themeColor="accent1" w:themeShade="BF"/>
          <w:szCs w:val="21"/>
        </w:rPr>
        <w:t>蓝色：仅对长寿命电池有较高相关性</w:t>
      </w:r>
    </w:p>
    <w:p w14:paraId="128392E2" w14:textId="5DA9394C" w:rsidR="0057193E" w:rsidRPr="0057193E" w:rsidRDefault="00655F90" w:rsidP="0057193E">
      <w:pPr>
        <w:spacing w:line="300" w:lineRule="auto"/>
        <w:jc w:val="left"/>
        <w:rPr>
          <w:rFonts w:ascii="Times New Roman" w:eastAsia="宋体" w:hAnsi="Times New Roman"/>
          <w:color w:val="BF8F00" w:themeColor="accent4" w:themeShade="BF"/>
          <w:szCs w:val="21"/>
        </w:rPr>
      </w:pPr>
      <w:r w:rsidRPr="001A6885">
        <w:rPr>
          <w:rFonts w:ascii="Times New Roman" w:eastAsia="宋体" w:hAnsi="Times New Roman" w:hint="eastAsia"/>
          <w:color w:val="BF8F00" w:themeColor="accent4" w:themeShade="BF"/>
          <w:szCs w:val="21"/>
        </w:rPr>
        <w:t>黄色：对长短寿命电池均有较高相关性，但相关性相反</w:t>
      </w:r>
    </w:p>
    <w:p w14:paraId="127EB4ED" w14:textId="2BFEA179" w:rsidR="00C97789" w:rsidRPr="00FB40CD" w:rsidRDefault="00276074" w:rsidP="009D07FC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这也说明了，短寿命电池与长寿命电池之间存在某种特征相关性上的不同，应当使用不同的模型分别表征。</w:t>
      </w:r>
      <w:r w:rsidR="0057193E">
        <w:rPr>
          <w:rFonts w:ascii="Times New Roman" w:eastAsia="宋体" w:hAnsi="Times New Roman" w:hint="eastAsia"/>
          <w:sz w:val="24"/>
          <w:szCs w:val="24"/>
        </w:rPr>
        <w:t>若将长寿命和短寿命电池一并归于同一模型，则有可能导致与物理机理完全相悖的训练结果，例如表</w:t>
      </w:r>
      <w:r w:rsidR="0057193E">
        <w:rPr>
          <w:rFonts w:ascii="Times New Roman" w:eastAsia="宋体" w:hAnsi="Times New Roman" w:hint="eastAsia"/>
          <w:sz w:val="24"/>
          <w:szCs w:val="24"/>
        </w:rPr>
        <w:t>3</w:t>
      </w:r>
      <w:r w:rsidR="0057193E">
        <w:rPr>
          <w:rFonts w:ascii="Times New Roman" w:eastAsia="宋体" w:hAnsi="Times New Roman" w:hint="eastAsia"/>
          <w:sz w:val="24"/>
          <w:szCs w:val="24"/>
        </w:rPr>
        <w:t>中，若将所有电池混在一起，则“第</w:t>
      </w:r>
      <w:r w:rsidR="0057193E">
        <w:rPr>
          <w:rFonts w:ascii="Times New Roman" w:eastAsia="宋体" w:hAnsi="Times New Roman"/>
          <w:sz w:val="24"/>
          <w:szCs w:val="24"/>
        </w:rPr>
        <w:t>2</w:t>
      </w:r>
      <w:r w:rsidR="0057193E">
        <w:rPr>
          <w:rFonts w:ascii="Times New Roman" w:eastAsia="宋体" w:hAnsi="Times New Roman" w:hint="eastAsia"/>
          <w:sz w:val="24"/>
          <w:szCs w:val="24"/>
        </w:rPr>
        <w:t>周放电容量”</w:t>
      </w:r>
      <w:r w:rsidR="00E614AD">
        <w:rPr>
          <w:rFonts w:ascii="Times New Roman" w:eastAsia="宋体" w:hAnsi="Times New Roman" w:hint="eastAsia"/>
          <w:sz w:val="24"/>
          <w:szCs w:val="24"/>
        </w:rPr>
        <w:t>将与电池寿命呈负相关特性（相关系数为</w:t>
      </w:r>
      <w:r w:rsidR="00E614AD">
        <w:rPr>
          <w:rFonts w:ascii="Times New Roman" w:eastAsia="宋体" w:hAnsi="Times New Roman" w:hint="eastAsia"/>
          <w:sz w:val="24"/>
          <w:szCs w:val="24"/>
        </w:rPr>
        <w:t>-</w:t>
      </w:r>
      <w:r w:rsidR="00E614AD">
        <w:rPr>
          <w:rFonts w:ascii="Times New Roman" w:eastAsia="宋体" w:hAnsi="Times New Roman"/>
          <w:sz w:val="24"/>
          <w:szCs w:val="24"/>
        </w:rPr>
        <w:t>0.061</w:t>
      </w:r>
      <w:r w:rsidR="00E614AD">
        <w:rPr>
          <w:rFonts w:ascii="Times New Roman" w:eastAsia="宋体" w:hAnsi="Times New Roman" w:hint="eastAsia"/>
          <w:sz w:val="24"/>
          <w:szCs w:val="24"/>
        </w:rPr>
        <w:t>），这显然是有违常识的。</w:t>
      </w:r>
    </w:p>
    <w:p w14:paraId="26BD21FA" w14:textId="1F839797" w:rsidR="000F4B05" w:rsidRPr="00C542B5" w:rsidRDefault="000F4B05" w:rsidP="000F4B05">
      <w:pPr>
        <w:pStyle w:val="2"/>
        <w:spacing w:before="0" w:after="0" w:line="300" w:lineRule="auto"/>
        <w:rPr>
          <w:sz w:val="28"/>
          <w:szCs w:val="28"/>
        </w:rPr>
      </w:pPr>
      <w:r w:rsidRPr="00D5429E">
        <w:rPr>
          <w:rFonts w:hint="eastAsia"/>
          <w:sz w:val="28"/>
          <w:szCs w:val="28"/>
        </w:rPr>
        <w:t>3</w:t>
      </w:r>
      <w:r w:rsidRPr="00D5429E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5429E">
        <w:rPr>
          <w:sz w:val="28"/>
          <w:szCs w:val="28"/>
        </w:rPr>
        <w:t xml:space="preserve"> </w:t>
      </w:r>
      <w:r w:rsidR="00C542B5">
        <w:rPr>
          <w:rFonts w:hint="eastAsia"/>
          <w:sz w:val="28"/>
          <w:szCs w:val="28"/>
        </w:rPr>
        <w:t>长短寿命双模型的训练与测试</w:t>
      </w:r>
    </w:p>
    <w:p w14:paraId="2D634B18" w14:textId="58A762C8" w:rsidR="0053734B" w:rsidRDefault="000F4B05" w:rsidP="000F4B05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E94B18">
        <w:rPr>
          <w:rFonts w:ascii="Times New Roman" w:eastAsia="宋体" w:hAnsi="Times New Roman" w:hint="eastAsia"/>
          <w:sz w:val="24"/>
          <w:szCs w:val="24"/>
        </w:rPr>
        <w:t>根据</w:t>
      </w:r>
      <w:r w:rsidR="00E94B18">
        <w:rPr>
          <w:rFonts w:ascii="Times New Roman" w:eastAsia="宋体" w:hAnsi="Times New Roman" w:hint="eastAsia"/>
          <w:sz w:val="24"/>
          <w:szCs w:val="24"/>
        </w:rPr>
        <w:t>3.</w:t>
      </w:r>
      <w:r w:rsidR="00E94B18">
        <w:rPr>
          <w:rFonts w:ascii="Times New Roman" w:eastAsia="宋体" w:hAnsi="Times New Roman"/>
          <w:sz w:val="24"/>
          <w:szCs w:val="24"/>
        </w:rPr>
        <w:t>2</w:t>
      </w:r>
      <w:r w:rsidR="00E94B18">
        <w:rPr>
          <w:rFonts w:ascii="Times New Roman" w:eastAsia="宋体" w:hAnsi="Times New Roman" w:hint="eastAsia"/>
          <w:sz w:val="24"/>
          <w:szCs w:val="24"/>
        </w:rPr>
        <w:t>节介绍的内容，</w:t>
      </w:r>
      <w:r w:rsidR="00901577">
        <w:rPr>
          <w:rFonts w:ascii="Times New Roman" w:eastAsia="宋体" w:hAnsi="Times New Roman" w:hint="eastAsia"/>
          <w:sz w:val="24"/>
          <w:szCs w:val="24"/>
        </w:rPr>
        <w:t>应当分别训练两个模型，一个用于长寿命电池，一</w:t>
      </w:r>
      <w:r w:rsidR="00901577">
        <w:rPr>
          <w:rFonts w:ascii="Times New Roman" w:eastAsia="宋体" w:hAnsi="Times New Roman" w:hint="eastAsia"/>
          <w:sz w:val="24"/>
          <w:szCs w:val="24"/>
        </w:rPr>
        <w:lastRenderedPageBreak/>
        <w:t>个用于短寿命电池。</w:t>
      </w:r>
      <w:r w:rsidR="00606C7C">
        <w:rPr>
          <w:rFonts w:ascii="Times New Roman" w:eastAsia="宋体" w:hAnsi="Times New Roman" w:hint="eastAsia"/>
          <w:sz w:val="24"/>
          <w:szCs w:val="24"/>
        </w:rPr>
        <w:t>然而在实际使用中，如何判断某电池是长寿命还是短寿命呢？</w:t>
      </w:r>
      <w:r w:rsidR="00E74410">
        <w:rPr>
          <w:rFonts w:ascii="Times New Roman" w:eastAsia="宋体" w:hAnsi="Times New Roman" w:hint="eastAsia"/>
          <w:sz w:val="24"/>
          <w:szCs w:val="24"/>
        </w:rPr>
        <w:t>如何判断该用哪个模型来估计这个电池的寿命呢？</w:t>
      </w:r>
      <w:r w:rsidR="00606C7C">
        <w:rPr>
          <w:rFonts w:ascii="Times New Roman" w:eastAsia="宋体" w:hAnsi="Times New Roman" w:hint="eastAsia"/>
          <w:sz w:val="24"/>
          <w:szCs w:val="24"/>
        </w:rPr>
        <w:t>这一问题将在</w:t>
      </w:r>
      <w:r w:rsidR="00606C7C">
        <w:rPr>
          <w:rFonts w:ascii="Times New Roman" w:eastAsia="宋体" w:hAnsi="Times New Roman" w:hint="eastAsia"/>
          <w:sz w:val="24"/>
          <w:szCs w:val="24"/>
        </w:rPr>
        <w:t>3</w:t>
      </w:r>
      <w:r w:rsidR="00606C7C">
        <w:rPr>
          <w:rFonts w:ascii="Times New Roman" w:eastAsia="宋体" w:hAnsi="Times New Roman"/>
          <w:sz w:val="24"/>
          <w:szCs w:val="24"/>
        </w:rPr>
        <w:t>.4</w:t>
      </w:r>
      <w:r w:rsidR="00606C7C">
        <w:rPr>
          <w:rFonts w:ascii="Times New Roman" w:eastAsia="宋体" w:hAnsi="Times New Roman" w:hint="eastAsia"/>
          <w:sz w:val="24"/>
          <w:szCs w:val="24"/>
        </w:rPr>
        <w:t>节讨论。我们暂时</w:t>
      </w:r>
      <w:r w:rsidR="004F6C7A">
        <w:rPr>
          <w:rFonts w:ascii="Times New Roman" w:eastAsia="宋体" w:hAnsi="Times New Roman" w:hint="eastAsia"/>
          <w:sz w:val="24"/>
          <w:szCs w:val="24"/>
        </w:rPr>
        <w:t>假设</w:t>
      </w:r>
      <w:r w:rsidR="00606C7C">
        <w:rPr>
          <w:rFonts w:ascii="Times New Roman" w:eastAsia="宋体" w:hAnsi="Times New Roman" w:hint="eastAsia"/>
          <w:sz w:val="24"/>
          <w:szCs w:val="24"/>
        </w:rPr>
        <w:t>认为</w:t>
      </w:r>
      <w:r w:rsidR="00DA3836">
        <w:rPr>
          <w:rFonts w:ascii="Times New Roman" w:eastAsia="宋体" w:hAnsi="Times New Roman" w:hint="eastAsia"/>
          <w:sz w:val="24"/>
          <w:szCs w:val="24"/>
        </w:rPr>
        <w:t>我们已知了</w:t>
      </w:r>
      <w:r w:rsidR="00A14159">
        <w:rPr>
          <w:rFonts w:ascii="Times New Roman" w:eastAsia="宋体" w:hAnsi="Times New Roman" w:hint="eastAsia"/>
          <w:sz w:val="24"/>
          <w:szCs w:val="24"/>
        </w:rPr>
        <w:t>所有</w:t>
      </w:r>
      <w:r w:rsidR="00DA3836">
        <w:rPr>
          <w:rFonts w:ascii="Times New Roman" w:eastAsia="宋体" w:hAnsi="Times New Roman" w:hint="eastAsia"/>
          <w:sz w:val="24"/>
          <w:szCs w:val="24"/>
        </w:rPr>
        <w:t>电池为长寿命</w:t>
      </w:r>
      <w:r w:rsidR="00DA3836">
        <w:rPr>
          <w:rFonts w:ascii="Times New Roman" w:eastAsia="宋体" w:hAnsi="Times New Roman" w:hint="eastAsia"/>
          <w:sz w:val="24"/>
          <w:szCs w:val="24"/>
        </w:rPr>
        <w:t>or</w:t>
      </w:r>
      <w:r w:rsidR="00DA3836">
        <w:rPr>
          <w:rFonts w:ascii="Times New Roman" w:eastAsia="宋体" w:hAnsi="Times New Roman" w:hint="eastAsia"/>
          <w:sz w:val="24"/>
          <w:szCs w:val="24"/>
        </w:rPr>
        <w:t>短寿命。</w:t>
      </w:r>
    </w:p>
    <w:p w14:paraId="437CD93D" w14:textId="05301624" w:rsidR="0053734B" w:rsidRDefault="00775A66" w:rsidP="00C97789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E74410">
        <w:rPr>
          <w:rFonts w:ascii="Times New Roman" w:eastAsia="宋体" w:hAnsi="Times New Roman" w:hint="eastAsia"/>
          <w:sz w:val="24"/>
          <w:szCs w:val="24"/>
        </w:rPr>
        <w:t>如</w:t>
      </w:r>
      <w:r w:rsidR="00E74410">
        <w:rPr>
          <w:rFonts w:ascii="Times New Roman" w:eastAsia="宋体" w:hAnsi="Times New Roman" w:hint="eastAsia"/>
          <w:sz w:val="24"/>
          <w:szCs w:val="24"/>
        </w:rPr>
        <w:t>3</w:t>
      </w:r>
      <w:r w:rsidR="00E74410">
        <w:rPr>
          <w:rFonts w:ascii="Times New Roman" w:eastAsia="宋体" w:hAnsi="Times New Roman"/>
          <w:sz w:val="24"/>
          <w:szCs w:val="24"/>
        </w:rPr>
        <w:t>.1</w:t>
      </w:r>
      <w:r w:rsidR="00E74410">
        <w:rPr>
          <w:rFonts w:ascii="Times New Roman" w:eastAsia="宋体" w:hAnsi="Times New Roman" w:hint="eastAsia"/>
          <w:sz w:val="24"/>
          <w:szCs w:val="24"/>
        </w:rPr>
        <w:t>所说，想要训练一个</w:t>
      </w:r>
      <w:r w:rsidR="00625FD4">
        <w:rPr>
          <w:rFonts w:ascii="Times New Roman" w:eastAsia="宋体" w:hAnsi="Times New Roman" w:hint="eastAsia"/>
          <w:sz w:val="24"/>
          <w:szCs w:val="24"/>
        </w:rPr>
        <w:t>适用于长寿命电池的模型是困难的，这是因为训练集中寿命大于</w:t>
      </w:r>
      <w:r w:rsidR="00625FD4">
        <w:rPr>
          <w:rFonts w:ascii="Times New Roman" w:eastAsia="宋体" w:hAnsi="Times New Roman" w:hint="eastAsia"/>
          <w:sz w:val="24"/>
          <w:szCs w:val="24"/>
        </w:rPr>
        <w:t>1</w:t>
      </w:r>
      <w:r w:rsidR="00625FD4">
        <w:rPr>
          <w:rFonts w:ascii="Times New Roman" w:eastAsia="宋体" w:hAnsi="Times New Roman"/>
          <w:sz w:val="24"/>
          <w:szCs w:val="24"/>
        </w:rPr>
        <w:t xml:space="preserve">000 </w:t>
      </w:r>
      <w:r w:rsidR="00625FD4">
        <w:rPr>
          <w:rFonts w:ascii="Times New Roman" w:eastAsia="宋体" w:hAnsi="Times New Roman" w:hint="eastAsia"/>
          <w:sz w:val="24"/>
          <w:szCs w:val="24"/>
        </w:rPr>
        <w:t>CYC</w:t>
      </w:r>
      <w:r w:rsidR="00625FD4">
        <w:rPr>
          <w:rFonts w:ascii="Times New Roman" w:eastAsia="宋体" w:hAnsi="Times New Roman" w:hint="eastAsia"/>
          <w:sz w:val="24"/>
          <w:szCs w:val="24"/>
        </w:rPr>
        <w:t>的仅有</w:t>
      </w:r>
      <w:r w:rsidR="00625FD4">
        <w:rPr>
          <w:rFonts w:ascii="Times New Roman" w:eastAsia="宋体" w:hAnsi="Times New Roman" w:hint="eastAsia"/>
          <w:sz w:val="24"/>
          <w:szCs w:val="24"/>
        </w:rPr>
        <w:t>4</w:t>
      </w:r>
      <w:r w:rsidR="00625FD4">
        <w:rPr>
          <w:rFonts w:ascii="Times New Roman" w:eastAsia="宋体" w:hAnsi="Times New Roman" w:hint="eastAsia"/>
          <w:sz w:val="24"/>
          <w:szCs w:val="24"/>
        </w:rPr>
        <w:t>个样本。</w:t>
      </w:r>
      <w:r w:rsidR="005413E4">
        <w:rPr>
          <w:rFonts w:ascii="Times New Roman" w:eastAsia="宋体" w:hAnsi="Times New Roman" w:hint="eastAsia"/>
          <w:sz w:val="24"/>
          <w:szCs w:val="24"/>
        </w:rPr>
        <w:t>为此我们使用</w:t>
      </w:r>
      <w:r w:rsidR="0062561D">
        <w:rPr>
          <w:rFonts w:ascii="Times New Roman" w:eastAsia="宋体" w:hAnsi="Times New Roman" w:hint="eastAsia"/>
          <w:sz w:val="24"/>
          <w:szCs w:val="24"/>
        </w:rPr>
        <w:t>形式简单的</w:t>
      </w:r>
      <w:r w:rsidR="005413E4">
        <w:rPr>
          <w:rFonts w:ascii="Times New Roman" w:eastAsia="宋体" w:hAnsi="Times New Roman" w:hint="eastAsia"/>
          <w:sz w:val="24"/>
          <w:szCs w:val="24"/>
        </w:rPr>
        <w:t>Elastic</w:t>
      </w:r>
      <w:r w:rsidR="005413E4">
        <w:rPr>
          <w:rFonts w:ascii="Times New Roman" w:eastAsia="宋体" w:hAnsi="Times New Roman"/>
          <w:sz w:val="24"/>
          <w:szCs w:val="24"/>
        </w:rPr>
        <w:t xml:space="preserve"> </w:t>
      </w:r>
      <w:r w:rsidR="005413E4">
        <w:rPr>
          <w:rFonts w:ascii="Times New Roman" w:eastAsia="宋体" w:hAnsi="Times New Roman" w:hint="eastAsia"/>
          <w:sz w:val="24"/>
          <w:szCs w:val="24"/>
        </w:rPr>
        <w:t>Net</w:t>
      </w:r>
      <w:r w:rsidR="000F512A">
        <w:rPr>
          <w:rFonts w:ascii="Times New Roman" w:eastAsia="宋体" w:hAnsi="Times New Roman" w:hint="eastAsia"/>
          <w:sz w:val="24"/>
          <w:szCs w:val="24"/>
        </w:rPr>
        <w:t>来训练长寿命模型。</w:t>
      </w:r>
      <w:r w:rsidR="009B7634">
        <w:rPr>
          <w:rFonts w:ascii="Times New Roman" w:eastAsia="宋体" w:hAnsi="Times New Roman" w:hint="eastAsia"/>
          <w:sz w:val="24"/>
          <w:szCs w:val="24"/>
        </w:rPr>
        <w:t>根据表</w:t>
      </w:r>
      <w:r w:rsidR="009B7634">
        <w:rPr>
          <w:rFonts w:ascii="Times New Roman" w:eastAsia="宋体" w:hAnsi="Times New Roman" w:hint="eastAsia"/>
          <w:sz w:val="24"/>
          <w:szCs w:val="24"/>
        </w:rPr>
        <w:t>3</w:t>
      </w:r>
      <w:r w:rsidR="009B7634">
        <w:rPr>
          <w:rFonts w:ascii="Times New Roman" w:eastAsia="宋体" w:hAnsi="Times New Roman" w:hint="eastAsia"/>
          <w:sz w:val="24"/>
          <w:szCs w:val="24"/>
        </w:rPr>
        <w:t>，选取特征</w:t>
      </w:r>
      <w:r w:rsidR="009B7634">
        <w:rPr>
          <w:rFonts w:ascii="Times New Roman" w:eastAsia="宋体" w:hAnsi="Times New Roman" w:hint="eastAsia"/>
          <w:sz w:val="24"/>
          <w:szCs w:val="24"/>
        </w:rPr>
        <w:t>1</w:t>
      </w:r>
      <w:r w:rsidR="009B7634">
        <w:rPr>
          <w:rFonts w:ascii="Times New Roman" w:eastAsia="宋体" w:hAnsi="Times New Roman" w:hint="eastAsia"/>
          <w:sz w:val="24"/>
          <w:szCs w:val="24"/>
        </w:rPr>
        <w:t>、特征</w:t>
      </w:r>
      <w:r w:rsidR="009B7634">
        <w:rPr>
          <w:rFonts w:ascii="Times New Roman" w:eastAsia="宋体" w:hAnsi="Times New Roman" w:hint="eastAsia"/>
          <w:sz w:val="24"/>
          <w:szCs w:val="24"/>
        </w:rPr>
        <w:t>2</w:t>
      </w:r>
      <w:r w:rsidR="009B7634">
        <w:rPr>
          <w:rFonts w:ascii="Times New Roman" w:eastAsia="宋体" w:hAnsi="Times New Roman" w:hint="eastAsia"/>
          <w:sz w:val="24"/>
          <w:szCs w:val="24"/>
        </w:rPr>
        <w:t>、特征</w:t>
      </w:r>
      <w:r w:rsidR="009B7634">
        <w:rPr>
          <w:rFonts w:ascii="Times New Roman" w:eastAsia="宋体" w:hAnsi="Times New Roman" w:hint="eastAsia"/>
          <w:sz w:val="24"/>
          <w:szCs w:val="24"/>
        </w:rPr>
        <w:t>9</w:t>
      </w:r>
      <w:r w:rsidR="009B7634">
        <w:rPr>
          <w:rFonts w:ascii="Times New Roman" w:eastAsia="宋体" w:hAnsi="Times New Roman" w:hint="eastAsia"/>
          <w:sz w:val="24"/>
          <w:szCs w:val="24"/>
        </w:rPr>
        <w:t>、特征</w:t>
      </w:r>
      <w:r w:rsidR="009B7634">
        <w:rPr>
          <w:rFonts w:ascii="Times New Roman" w:eastAsia="宋体" w:hAnsi="Times New Roman" w:hint="eastAsia"/>
          <w:sz w:val="24"/>
          <w:szCs w:val="24"/>
        </w:rPr>
        <w:t>1</w:t>
      </w:r>
      <w:r w:rsidR="009B7634">
        <w:rPr>
          <w:rFonts w:ascii="Times New Roman" w:eastAsia="宋体" w:hAnsi="Times New Roman"/>
          <w:sz w:val="24"/>
          <w:szCs w:val="24"/>
        </w:rPr>
        <w:t>3</w:t>
      </w:r>
      <w:r w:rsidR="009B7634">
        <w:rPr>
          <w:rFonts w:ascii="Times New Roman" w:eastAsia="宋体" w:hAnsi="Times New Roman" w:hint="eastAsia"/>
          <w:sz w:val="24"/>
          <w:szCs w:val="24"/>
        </w:rPr>
        <w:t>作为模型的输入特征。</w:t>
      </w:r>
      <w:r w:rsidR="005D458C">
        <w:rPr>
          <w:rFonts w:ascii="Times New Roman" w:eastAsia="宋体" w:hAnsi="Times New Roman" w:hint="eastAsia"/>
          <w:sz w:val="24"/>
          <w:szCs w:val="24"/>
        </w:rPr>
        <w:t>详见（</w:t>
      </w:r>
      <w:r w:rsidR="005D458C">
        <w:rPr>
          <w:rFonts w:ascii="Times New Roman" w:eastAsia="宋体" w:hAnsi="Times New Roman" w:hint="eastAsia"/>
          <w:sz w:val="24"/>
          <w:szCs w:val="24"/>
        </w:rPr>
        <w:t>d</w:t>
      </w:r>
      <w:r w:rsidR="005D458C">
        <w:rPr>
          <w:rFonts w:ascii="Times New Roman" w:eastAsia="宋体" w:hAnsi="Times New Roman"/>
          <w:sz w:val="24"/>
          <w:szCs w:val="24"/>
        </w:rPr>
        <w:t>ouble_</w:t>
      </w:r>
      <w:r w:rsidR="00A91209">
        <w:rPr>
          <w:rFonts w:ascii="Times New Roman" w:eastAsia="宋体" w:hAnsi="Times New Roman" w:hint="eastAsia"/>
          <w:sz w:val="24"/>
          <w:szCs w:val="24"/>
        </w:rPr>
        <w:t>model</w:t>
      </w:r>
      <w:r w:rsidR="00A91209">
        <w:rPr>
          <w:rFonts w:ascii="Times New Roman" w:eastAsia="宋体" w:hAnsi="Times New Roman"/>
          <w:sz w:val="24"/>
          <w:szCs w:val="24"/>
        </w:rPr>
        <w:t>_expect</w:t>
      </w:r>
      <w:r w:rsidR="005D458C">
        <w:rPr>
          <w:rFonts w:ascii="Times New Roman" w:eastAsia="宋体" w:hAnsi="Times New Roman"/>
          <w:sz w:val="24"/>
          <w:szCs w:val="24"/>
        </w:rPr>
        <w:t>.py</w:t>
      </w:r>
      <w:r w:rsidR="005D458C">
        <w:rPr>
          <w:rFonts w:ascii="Times New Roman" w:eastAsia="宋体" w:hAnsi="Times New Roman" w:hint="eastAsia"/>
          <w:sz w:val="24"/>
          <w:szCs w:val="24"/>
        </w:rPr>
        <w:t>）</w:t>
      </w:r>
    </w:p>
    <w:p w14:paraId="4FFFAC10" w14:textId="5ABD9A06" w:rsidR="007D3F47" w:rsidRDefault="007D3F47" w:rsidP="00C97789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01107B">
        <w:rPr>
          <w:rFonts w:ascii="Times New Roman" w:eastAsia="宋体" w:hAnsi="Times New Roman" w:hint="eastAsia"/>
          <w:sz w:val="24"/>
          <w:szCs w:val="24"/>
        </w:rPr>
        <w:t>而对于短寿命电池模型，</w:t>
      </w:r>
      <w:r w:rsidR="00C92843">
        <w:rPr>
          <w:rFonts w:ascii="Times New Roman" w:eastAsia="宋体" w:hAnsi="Times New Roman" w:hint="eastAsia"/>
          <w:sz w:val="24"/>
          <w:szCs w:val="24"/>
        </w:rPr>
        <w:t>其样本量相对充足，我们使用</w:t>
      </w:r>
      <w:r w:rsidR="00C92843">
        <w:rPr>
          <w:rFonts w:ascii="Times New Roman" w:eastAsia="宋体" w:hAnsi="Times New Roman" w:hint="eastAsia"/>
          <w:sz w:val="24"/>
          <w:szCs w:val="24"/>
        </w:rPr>
        <w:t>CNN</w:t>
      </w:r>
      <w:r w:rsidR="00C92843">
        <w:rPr>
          <w:rFonts w:ascii="Times New Roman" w:eastAsia="宋体" w:hAnsi="Times New Roman" w:hint="eastAsia"/>
          <w:sz w:val="24"/>
          <w:szCs w:val="24"/>
        </w:rPr>
        <w:t>进行训练</w:t>
      </w:r>
      <w:r w:rsidR="005D458C">
        <w:rPr>
          <w:rFonts w:ascii="Times New Roman" w:eastAsia="宋体" w:hAnsi="Times New Roman" w:hint="eastAsia"/>
          <w:sz w:val="24"/>
          <w:szCs w:val="24"/>
        </w:rPr>
        <w:t>（详见</w:t>
      </w:r>
      <w:r w:rsidR="00CB60D7" w:rsidRPr="00CB60D7">
        <w:rPr>
          <w:rFonts w:ascii="Times New Roman" w:eastAsia="宋体" w:hAnsi="Times New Roman"/>
          <w:sz w:val="24"/>
          <w:szCs w:val="24"/>
        </w:rPr>
        <w:t>short_life_model_CNN</w:t>
      </w:r>
      <w:r w:rsidR="005D458C">
        <w:rPr>
          <w:rFonts w:ascii="Times New Roman" w:eastAsia="宋体" w:hAnsi="Times New Roman"/>
          <w:sz w:val="24"/>
          <w:szCs w:val="24"/>
        </w:rPr>
        <w:t>.py</w:t>
      </w:r>
      <w:r w:rsidR="005D458C">
        <w:rPr>
          <w:rFonts w:ascii="Times New Roman" w:eastAsia="宋体" w:hAnsi="Times New Roman" w:hint="eastAsia"/>
          <w:sz w:val="24"/>
          <w:szCs w:val="24"/>
        </w:rPr>
        <w:t>）</w:t>
      </w:r>
      <w:r w:rsidR="00C92843">
        <w:rPr>
          <w:rFonts w:ascii="Times New Roman" w:eastAsia="宋体" w:hAnsi="Times New Roman" w:hint="eastAsia"/>
          <w:sz w:val="24"/>
          <w:szCs w:val="24"/>
        </w:rPr>
        <w:t>。其输入仍为</w:t>
      </w:r>
      <w:r w:rsidR="008C0547" w:rsidRPr="00454A67">
        <w:rPr>
          <w:rFonts w:ascii="Times New Roman" w:eastAsia="宋体" w:hAnsi="Times New Roman" w:cs="Times New Roman"/>
          <w:sz w:val="24"/>
          <w:szCs w:val="24"/>
        </w:rPr>
        <w:t>Δ</w:t>
      </w:r>
      <w:r w:rsidR="008C0547">
        <w:rPr>
          <w:rFonts w:ascii="Times New Roman" w:eastAsia="宋体" w:hAnsi="Times New Roman" w:hint="eastAsia"/>
          <w:sz w:val="24"/>
          <w:szCs w:val="24"/>
        </w:rPr>
        <w:t>Q</w:t>
      </w:r>
      <w:r w:rsidR="008C0547" w:rsidRPr="00454A67">
        <w:rPr>
          <w:rFonts w:ascii="Times New Roman" w:eastAsia="宋体" w:hAnsi="Times New Roman"/>
          <w:sz w:val="24"/>
          <w:szCs w:val="24"/>
          <w:vertAlign w:val="subscript"/>
        </w:rPr>
        <w:t>100-10</w:t>
      </w:r>
      <w:r w:rsidR="008C0547">
        <w:rPr>
          <w:rFonts w:ascii="Times New Roman" w:eastAsia="宋体" w:hAnsi="Times New Roman" w:hint="eastAsia"/>
          <w:sz w:val="24"/>
          <w:szCs w:val="24"/>
        </w:rPr>
        <w:t>曲线</w:t>
      </w:r>
      <w:r w:rsidR="003E3085">
        <w:rPr>
          <w:rFonts w:ascii="Times New Roman" w:eastAsia="宋体" w:hAnsi="Times New Roman" w:hint="eastAsia"/>
          <w:sz w:val="24"/>
          <w:szCs w:val="24"/>
        </w:rPr>
        <w:t>。</w:t>
      </w:r>
    </w:p>
    <w:p w14:paraId="6B966D7A" w14:textId="38C86D62" w:rsidR="00DA3836" w:rsidRDefault="00C15849" w:rsidP="00C97789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E21138">
        <w:rPr>
          <w:rFonts w:ascii="Times New Roman" w:eastAsia="宋体" w:hAnsi="Times New Roman" w:hint="eastAsia"/>
          <w:sz w:val="24"/>
          <w:szCs w:val="24"/>
        </w:rPr>
        <w:t>长短寿命电池模型、及其总体误差的统计如表</w:t>
      </w:r>
      <w:r w:rsidR="00E21138">
        <w:rPr>
          <w:rFonts w:ascii="Times New Roman" w:eastAsia="宋体" w:hAnsi="Times New Roman" w:hint="eastAsia"/>
          <w:sz w:val="24"/>
          <w:szCs w:val="24"/>
        </w:rPr>
        <w:t>4</w:t>
      </w:r>
      <w:r w:rsidR="00E21138">
        <w:rPr>
          <w:rFonts w:ascii="Times New Roman" w:eastAsia="宋体" w:hAnsi="Times New Roman" w:hint="eastAsia"/>
          <w:sz w:val="24"/>
          <w:szCs w:val="24"/>
        </w:rPr>
        <w:t>所示。其中总体误差通过长短</w:t>
      </w:r>
      <w:r w:rsidR="00CA1973">
        <w:rPr>
          <w:rFonts w:ascii="Times New Roman" w:eastAsia="宋体" w:hAnsi="Times New Roman" w:hint="eastAsia"/>
          <w:sz w:val="24"/>
          <w:szCs w:val="24"/>
        </w:rPr>
        <w:t>寿命</w:t>
      </w:r>
      <w:r w:rsidR="00E21138">
        <w:rPr>
          <w:rFonts w:ascii="Times New Roman" w:eastAsia="宋体" w:hAnsi="Times New Roman" w:hint="eastAsia"/>
          <w:sz w:val="24"/>
          <w:szCs w:val="24"/>
        </w:rPr>
        <w:t>模型的误差按长短</w:t>
      </w:r>
      <w:r w:rsidR="00CA1973">
        <w:rPr>
          <w:rFonts w:ascii="Times New Roman" w:eastAsia="宋体" w:hAnsi="Times New Roman" w:hint="eastAsia"/>
          <w:sz w:val="24"/>
          <w:szCs w:val="24"/>
        </w:rPr>
        <w:t>寿命</w:t>
      </w:r>
      <w:r w:rsidR="00E21138">
        <w:rPr>
          <w:rFonts w:ascii="Times New Roman" w:eastAsia="宋体" w:hAnsi="Times New Roman" w:hint="eastAsia"/>
          <w:sz w:val="24"/>
          <w:szCs w:val="24"/>
        </w:rPr>
        <w:t>样本个数加权得到</w:t>
      </w:r>
      <w:r w:rsidR="005F12A0">
        <w:rPr>
          <w:rFonts w:ascii="Times New Roman" w:eastAsia="宋体" w:hAnsi="Times New Roman" w:hint="eastAsia"/>
          <w:sz w:val="24"/>
          <w:szCs w:val="24"/>
        </w:rPr>
        <w:t>，这保证了其与单模型方法误差的可比性</w:t>
      </w:r>
      <w:r w:rsidR="00AC00C7">
        <w:rPr>
          <w:rFonts w:ascii="Times New Roman" w:eastAsia="宋体" w:hAnsi="Times New Roman" w:hint="eastAsia"/>
          <w:sz w:val="24"/>
          <w:szCs w:val="24"/>
        </w:rPr>
        <w:t>：</w:t>
      </w:r>
    </w:p>
    <w:p w14:paraId="260EEBA5" w14:textId="659D76CD" w:rsidR="00AC00C7" w:rsidRPr="0062561D" w:rsidRDefault="00F626BE" w:rsidP="00F626BE">
      <w:pPr>
        <w:pStyle w:val="MTDisplayEquation"/>
      </w:pPr>
      <w:r>
        <w:tab/>
      </w:r>
      <w:r w:rsidRPr="00F626BE">
        <w:rPr>
          <w:position w:val="-24"/>
        </w:rPr>
        <w:object w:dxaOrig="8360" w:dyaOrig="620" w14:anchorId="34A58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4.2pt" o:ole="">
            <v:imagedata r:id="rId9" o:title=""/>
          </v:shape>
          <o:OLEObject Type="Embed" ProgID="Equation.DSMT4" ShapeID="_x0000_i1025" DrawAspect="Content" ObjectID="_1720779962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33E94CF" w14:textId="5B22B152" w:rsidR="00DA3836" w:rsidRPr="00FA1347" w:rsidRDefault="00FA1347" w:rsidP="00FA1347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FA1347">
        <w:rPr>
          <w:rFonts w:ascii="Times New Roman" w:eastAsia="宋体" w:hAnsi="Times New Roman" w:hint="eastAsia"/>
          <w:szCs w:val="21"/>
        </w:rPr>
        <w:t>表</w:t>
      </w:r>
      <w:r w:rsidRPr="00FA1347">
        <w:rPr>
          <w:rFonts w:ascii="Times New Roman" w:eastAsia="宋体" w:hAnsi="Times New Roman" w:hint="eastAsia"/>
          <w:szCs w:val="21"/>
        </w:rPr>
        <w:t>4</w:t>
      </w:r>
      <w:r w:rsidRPr="00FA1347">
        <w:rPr>
          <w:rFonts w:ascii="Times New Roman" w:eastAsia="宋体" w:hAnsi="Times New Roman"/>
          <w:szCs w:val="21"/>
        </w:rPr>
        <w:t xml:space="preserve"> </w:t>
      </w:r>
      <w:r w:rsidRPr="00FA1347">
        <w:rPr>
          <w:rFonts w:ascii="Times New Roman" w:eastAsia="宋体" w:hAnsi="Times New Roman" w:hint="eastAsia"/>
          <w:szCs w:val="21"/>
        </w:rPr>
        <w:t>双模型误差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87"/>
        <w:gridCol w:w="2170"/>
        <w:gridCol w:w="2169"/>
        <w:gridCol w:w="2170"/>
      </w:tblGrid>
      <w:tr w:rsidR="00FA1347" w14:paraId="4DFBD9A6" w14:textId="77777777" w:rsidTr="003E19DF">
        <w:trPr>
          <w:jc w:val="center"/>
        </w:trPr>
        <w:tc>
          <w:tcPr>
            <w:tcW w:w="1787" w:type="dxa"/>
            <w:vAlign w:val="center"/>
          </w:tcPr>
          <w:p w14:paraId="53ADF5F5" w14:textId="77777777" w:rsidR="00FA1347" w:rsidRDefault="00FA1347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0" w:type="dxa"/>
            <w:vAlign w:val="center"/>
          </w:tcPr>
          <w:p w14:paraId="53C187CD" w14:textId="77777777" w:rsidR="00FA1347" w:rsidRDefault="00FA1347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训练集</w:t>
            </w:r>
            <w:r>
              <w:rPr>
                <w:rFonts w:ascii="Times New Roman" w:hAnsi="Times New Roman" w:hint="eastAsia"/>
                <w:sz w:val="24"/>
              </w:rPr>
              <w:t>MAPE</w:t>
            </w:r>
          </w:p>
        </w:tc>
        <w:tc>
          <w:tcPr>
            <w:tcW w:w="2169" w:type="dxa"/>
            <w:vAlign w:val="center"/>
          </w:tcPr>
          <w:p w14:paraId="4283AE78" w14:textId="77777777" w:rsidR="00FA1347" w:rsidRDefault="00FA1347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验证集</w:t>
            </w:r>
            <w:r>
              <w:rPr>
                <w:rFonts w:ascii="Times New Roman" w:hAnsi="Times New Roman" w:hint="eastAsia"/>
                <w:sz w:val="24"/>
              </w:rPr>
              <w:t>MAPE</w:t>
            </w:r>
          </w:p>
        </w:tc>
        <w:tc>
          <w:tcPr>
            <w:tcW w:w="2170" w:type="dxa"/>
            <w:vAlign w:val="center"/>
          </w:tcPr>
          <w:p w14:paraId="50C91A1E" w14:textId="77777777" w:rsidR="00FA1347" w:rsidRDefault="00FA1347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测试集</w:t>
            </w:r>
            <w:r>
              <w:rPr>
                <w:rFonts w:ascii="Times New Roman" w:hAnsi="Times New Roman" w:hint="eastAsia"/>
                <w:sz w:val="24"/>
              </w:rPr>
              <w:t>MAPE</w:t>
            </w:r>
          </w:p>
        </w:tc>
      </w:tr>
      <w:tr w:rsidR="00FA1347" w14:paraId="094D745D" w14:textId="77777777" w:rsidTr="003E19DF">
        <w:trPr>
          <w:jc w:val="center"/>
        </w:trPr>
        <w:tc>
          <w:tcPr>
            <w:tcW w:w="1787" w:type="dxa"/>
            <w:vAlign w:val="center"/>
          </w:tcPr>
          <w:p w14:paraId="51D98C98" w14:textId="716420E5" w:rsidR="00FA1347" w:rsidRDefault="00314BDE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长寿命</w:t>
            </w:r>
            <w:r w:rsidR="00EF1307">
              <w:rPr>
                <w:rFonts w:ascii="Times New Roman" w:hAnsi="Times New Roman" w:hint="eastAsia"/>
                <w:sz w:val="24"/>
              </w:rPr>
              <w:t>样本</w:t>
            </w: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Elastic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Net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70" w:type="dxa"/>
            <w:vAlign w:val="center"/>
          </w:tcPr>
          <w:p w14:paraId="21F39483" w14:textId="40165BC4" w:rsidR="00FA1347" w:rsidRDefault="004D62B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4D62B4">
              <w:rPr>
                <w:rFonts w:ascii="Times New Roman" w:hAnsi="Times New Roman"/>
                <w:sz w:val="24"/>
              </w:rPr>
              <w:t>3.77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69" w:type="dxa"/>
            <w:vAlign w:val="center"/>
          </w:tcPr>
          <w:p w14:paraId="189531A5" w14:textId="1354033B" w:rsidR="00FA1347" w:rsidRDefault="004D62B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4D62B4">
              <w:rPr>
                <w:rFonts w:ascii="Times New Roman" w:hAnsi="Times New Roman"/>
                <w:sz w:val="24"/>
              </w:rPr>
              <w:t>6.72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70" w:type="dxa"/>
            <w:vAlign w:val="center"/>
          </w:tcPr>
          <w:p w14:paraId="2E9E486E" w14:textId="1ADA5DC3" w:rsidR="00FA1347" w:rsidRDefault="004D62B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4D62B4">
              <w:rPr>
                <w:rFonts w:ascii="Times New Roman" w:hAnsi="Times New Roman"/>
                <w:sz w:val="24"/>
              </w:rPr>
              <w:t>10.06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</w:tr>
      <w:tr w:rsidR="00473C0F" w14:paraId="3CC65357" w14:textId="77777777" w:rsidTr="003E19DF">
        <w:trPr>
          <w:jc w:val="center"/>
        </w:trPr>
        <w:tc>
          <w:tcPr>
            <w:tcW w:w="1787" w:type="dxa"/>
            <w:vAlign w:val="center"/>
          </w:tcPr>
          <w:p w14:paraId="597DFE4C" w14:textId="6EECA382" w:rsidR="00473C0F" w:rsidRDefault="00473C0F" w:rsidP="00473C0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短寿命</w:t>
            </w:r>
            <w:r w:rsidR="00EF1307">
              <w:rPr>
                <w:rFonts w:ascii="Times New Roman" w:hAnsi="Times New Roman" w:hint="eastAsia"/>
                <w:sz w:val="24"/>
              </w:rPr>
              <w:t>样本</w:t>
            </w:r>
          </w:p>
          <w:p w14:paraId="7B75C370" w14:textId="5A08FE7E" w:rsidR="00473C0F" w:rsidRDefault="00473C0F" w:rsidP="00473C0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CNN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70" w:type="dxa"/>
            <w:vAlign w:val="center"/>
          </w:tcPr>
          <w:p w14:paraId="6FD78D9B" w14:textId="36C3E274" w:rsidR="00473C0F" w:rsidRDefault="00473C0F" w:rsidP="00473C0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3.97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69" w:type="dxa"/>
            <w:vAlign w:val="center"/>
          </w:tcPr>
          <w:p w14:paraId="3B605F22" w14:textId="2C6B5D4F" w:rsidR="00473C0F" w:rsidRDefault="00473C0F" w:rsidP="00473C0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10.67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70" w:type="dxa"/>
            <w:vAlign w:val="center"/>
          </w:tcPr>
          <w:p w14:paraId="7B2E5D83" w14:textId="1F5A6C6B" w:rsidR="00473C0F" w:rsidRDefault="00473C0F" w:rsidP="00473C0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7.46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</w:tr>
      <w:tr w:rsidR="00314BDE" w14:paraId="28E0A907" w14:textId="77777777" w:rsidTr="003E19DF">
        <w:trPr>
          <w:jc w:val="center"/>
        </w:trPr>
        <w:tc>
          <w:tcPr>
            <w:tcW w:w="1787" w:type="dxa"/>
            <w:vAlign w:val="center"/>
          </w:tcPr>
          <w:p w14:paraId="434A69FA" w14:textId="4B820B54" w:rsidR="00314BDE" w:rsidRDefault="00314BDE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综合误差</w:t>
            </w:r>
          </w:p>
        </w:tc>
        <w:tc>
          <w:tcPr>
            <w:tcW w:w="2170" w:type="dxa"/>
            <w:vAlign w:val="center"/>
          </w:tcPr>
          <w:p w14:paraId="18D07909" w14:textId="77EBB37D" w:rsidR="00314BDE" w:rsidRDefault="004D62B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4D62B4">
              <w:rPr>
                <w:rFonts w:ascii="Times New Roman" w:hAnsi="Times New Roman"/>
                <w:sz w:val="24"/>
              </w:rPr>
              <w:t>3.95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69" w:type="dxa"/>
            <w:vAlign w:val="center"/>
          </w:tcPr>
          <w:p w14:paraId="10C00040" w14:textId="23C8A2DC" w:rsidR="00314BDE" w:rsidRDefault="00EC4156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EC4156">
              <w:rPr>
                <w:rFonts w:ascii="Times New Roman" w:hAnsi="Times New Roman"/>
                <w:sz w:val="24"/>
              </w:rPr>
              <w:t>10.09</w:t>
            </w:r>
            <w:r w:rsidR="004D62B4">
              <w:rPr>
                <w:rFonts w:ascii="Times New Roman" w:hAnsi="Times New Roman" w:hint="eastAsia"/>
                <w:sz w:val="24"/>
              </w:rPr>
              <w:t>%</w:t>
            </w:r>
          </w:p>
        </w:tc>
        <w:tc>
          <w:tcPr>
            <w:tcW w:w="2170" w:type="dxa"/>
            <w:vAlign w:val="center"/>
          </w:tcPr>
          <w:p w14:paraId="30D650A5" w14:textId="1E332D98" w:rsidR="00314BDE" w:rsidRDefault="004D62B4" w:rsidP="003E19DF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4D62B4">
              <w:rPr>
                <w:rFonts w:ascii="Times New Roman" w:hAnsi="Times New Roman"/>
                <w:sz w:val="24"/>
              </w:rPr>
              <w:t>8.69</w:t>
            </w:r>
            <w:r>
              <w:rPr>
                <w:rFonts w:ascii="Times New Roman" w:hAnsi="Times New Roman" w:hint="eastAsia"/>
                <w:sz w:val="24"/>
              </w:rPr>
              <w:t>%</w:t>
            </w:r>
          </w:p>
        </w:tc>
      </w:tr>
    </w:tbl>
    <w:p w14:paraId="62005573" w14:textId="2D5A139F" w:rsidR="0003555B" w:rsidRDefault="00D71CCD" w:rsidP="00D71CCD">
      <w:pPr>
        <w:spacing w:line="30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73AF91C0" wp14:editId="38EB6ED8">
            <wp:extent cx="2904565" cy="184079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93" cy="1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D7E7" w14:textId="0DBFAC91" w:rsidR="0003555B" w:rsidRPr="00073D84" w:rsidRDefault="00D71CCD" w:rsidP="00073D84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73D84">
        <w:rPr>
          <w:rFonts w:ascii="Times New Roman" w:eastAsia="宋体" w:hAnsi="Times New Roman" w:hint="eastAsia"/>
          <w:szCs w:val="21"/>
        </w:rPr>
        <w:t>图</w:t>
      </w:r>
      <w:r w:rsidRPr="00073D84">
        <w:rPr>
          <w:rFonts w:ascii="Times New Roman" w:eastAsia="宋体" w:hAnsi="Times New Roman"/>
          <w:szCs w:val="21"/>
        </w:rPr>
        <w:t xml:space="preserve">2 </w:t>
      </w:r>
      <w:r w:rsidR="00073D84" w:rsidRPr="00073D84">
        <w:rPr>
          <w:rFonts w:ascii="Times New Roman" w:eastAsia="宋体" w:hAnsi="Times New Roman" w:hint="eastAsia"/>
          <w:szCs w:val="21"/>
        </w:rPr>
        <w:t>长短寿命双模型下的预测值与真值对比（方形为短寿命模型，圆圈为长寿命模型）</w:t>
      </w:r>
    </w:p>
    <w:p w14:paraId="630CCC3F" w14:textId="171D348D" w:rsidR="00392ADE" w:rsidRDefault="001A1016" w:rsidP="00C97789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从表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可见，分双模型的方法有助于测试集误差的下降。</w:t>
      </w:r>
    </w:p>
    <w:p w14:paraId="1E4F31BF" w14:textId="41A26F3E" w:rsidR="007F1411" w:rsidRPr="00C542B5" w:rsidRDefault="007F1411" w:rsidP="007F1411">
      <w:pPr>
        <w:pStyle w:val="2"/>
        <w:spacing w:before="0" w:after="0" w:line="300" w:lineRule="auto"/>
        <w:rPr>
          <w:sz w:val="28"/>
          <w:szCs w:val="28"/>
        </w:rPr>
      </w:pPr>
      <w:r w:rsidRPr="00D5429E">
        <w:rPr>
          <w:rFonts w:hint="eastAsia"/>
          <w:sz w:val="28"/>
          <w:szCs w:val="28"/>
        </w:rPr>
        <w:t>3</w:t>
      </w:r>
      <w:r w:rsidRPr="00D5429E">
        <w:rPr>
          <w:sz w:val="28"/>
          <w:szCs w:val="28"/>
        </w:rPr>
        <w:t>.</w:t>
      </w:r>
      <w:r w:rsidR="001B3C41">
        <w:rPr>
          <w:sz w:val="28"/>
          <w:szCs w:val="28"/>
        </w:rPr>
        <w:t>4</w:t>
      </w:r>
      <w:r w:rsidRPr="00D5429E">
        <w:rPr>
          <w:sz w:val="28"/>
          <w:szCs w:val="28"/>
        </w:rPr>
        <w:t xml:space="preserve"> </w:t>
      </w:r>
      <w:r w:rsidR="001B3C41">
        <w:rPr>
          <w:rFonts w:hint="eastAsia"/>
          <w:sz w:val="28"/>
          <w:szCs w:val="28"/>
        </w:rPr>
        <w:t>电池寿命长短的初步分类</w:t>
      </w:r>
    </w:p>
    <w:p w14:paraId="1A725A12" w14:textId="302BB7B1" w:rsidR="00E3701C" w:rsidRDefault="007F1411" w:rsidP="007F1411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062DA">
        <w:rPr>
          <w:rFonts w:ascii="Times New Roman" w:eastAsia="宋体" w:hAnsi="Times New Roman" w:hint="eastAsia"/>
          <w:sz w:val="24"/>
          <w:szCs w:val="24"/>
        </w:rPr>
        <w:t>本节回答</w:t>
      </w:r>
      <w:r w:rsidR="004062DA">
        <w:rPr>
          <w:rFonts w:ascii="Times New Roman" w:eastAsia="宋体" w:hAnsi="Times New Roman" w:hint="eastAsia"/>
          <w:sz w:val="24"/>
          <w:szCs w:val="24"/>
        </w:rPr>
        <w:t>3.</w:t>
      </w:r>
      <w:r w:rsidR="004062DA">
        <w:rPr>
          <w:rFonts w:ascii="Times New Roman" w:eastAsia="宋体" w:hAnsi="Times New Roman"/>
          <w:sz w:val="24"/>
          <w:szCs w:val="24"/>
        </w:rPr>
        <w:t>3</w:t>
      </w:r>
      <w:r w:rsidR="004062DA">
        <w:rPr>
          <w:rFonts w:ascii="Times New Roman" w:eastAsia="宋体" w:hAnsi="Times New Roman" w:hint="eastAsia"/>
          <w:sz w:val="24"/>
          <w:szCs w:val="24"/>
        </w:rPr>
        <w:t>节提到的</w:t>
      </w:r>
      <w:r w:rsidR="00090BE2">
        <w:rPr>
          <w:rFonts w:ascii="Times New Roman" w:eastAsia="宋体" w:hAnsi="Times New Roman" w:hint="eastAsia"/>
          <w:sz w:val="24"/>
          <w:szCs w:val="24"/>
        </w:rPr>
        <w:t>，如何确定</w:t>
      </w:r>
      <w:r w:rsidR="00392ADE">
        <w:rPr>
          <w:rFonts w:ascii="Times New Roman" w:eastAsia="宋体" w:hAnsi="Times New Roman" w:hint="eastAsia"/>
          <w:sz w:val="24"/>
          <w:szCs w:val="24"/>
        </w:rPr>
        <w:t>该用哪个模型来预测某电池的寿命的问题。也即电池的寿命长短的初分类方法。</w:t>
      </w:r>
      <w:r w:rsidR="00B11641">
        <w:rPr>
          <w:rFonts w:ascii="Times New Roman" w:eastAsia="宋体" w:hAnsi="Times New Roman" w:hint="eastAsia"/>
          <w:sz w:val="24"/>
          <w:szCs w:val="24"/>
        </w:rPr>
        <w:t>只有这个初分类完全正确，才可能达到表</w:t>
      </w:r>
      <w:r w:rsidR="00B11641">
        <w:rPr>
          <w:rFonts w:ascii="Times New Roman" w:eastAsia="宋体" w:hAnsi="Times New Roman" w:hint="eastAsia"/>
          <w:sz w:val="24"/>
          <w:szCs w:val="24"/>
        </w:rPr>
        <w:t>4</w:t>
      </w:r>
      <w:r w:rsidR="00B11641">
        <w:rPr>
          <w:rFonts w:ascii="Times New Roman" w:eastAsia="宋体" w:hAnsi="Times New Roman" w:hint="eastAsia"/>
          <w:sz w:val="24"/>
          <w:szCs w:val="24"/>
        </w:rPr>
        <w:t>所示的精度。</w:t>
      </w:r>
    </w:p>
    <w:p w14:paraId="1832C4AA" w14:textId="55B13AC0" w:rsidR="00824A5E" w:rsidRDefault="00824A5E" w:rsidP="007F1411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r w:rsidR="00265E05">
        <w:rPr>
          <w:rFonts w:ascii="Times New Roman" w:eastAsia="宋体" w:hAnsi="Times New Roman" w:hint="eastAsia"/>
          <w:sz w:val="24"/>
          <w:szCs w:val="24"/>
        </w:rPr>
        <w:t>本组尝试了如下方法：使用</w:t>
      </w:r>
      <w:r w:rsidR="00265E05">
        <w:rPr>
          <w:rFonts w:ascii="Times New Roman" w:eastAsia="宋体" w:hAnsi="Times New Roman" w:hint="eastAsia"/>
          <w:sz w:val="24"/>
          <w:szCs w:val="24"/>
        </w:rPr>
        <w:t>CNN</w:t>
      </w:r>
      <w:r w:rsidR="00265E05">
        <w:rPr>
          <w:rFonts w:ascii="Times New Roman" w:eastAsia="宋体" w:hAnsi="Times New Roman" w:hint="eastAsia"/>
          <w:sz w:val="24"/>
          <w:szCs w:val="24"/>
        </w:rPr>
        <w:t>初步预测电池的寿命，并根据</w:t>
      </w:r>
      <w:r w:rsidR="00265E05">
        <w:rPr>
          <w:rFonts w:ascii="Times New Roman" w:eastAsia="宋体" w:hAnsi="Times New Roman" w:hint="eastAsia"/>
          <w:sz w:val="24"/>
          <w:szCs w:val="24"/>
        </w:rPr>
        <w:t>CNN</w:t>
      </w:r>
      <w:r w:rsidR="00265E05">
        <w:rPr>
          <w:rFonts w:ascii="Times New Roman" w:eastAsia="宋体" w:hAnsi="Times New Roman" w:hint="eastAsia"/>
          <w:sz w:val="24"/>
          <w:szCs w:val="24"/>
        </w:rPr>
        <w:t>的预测结果判断属于长寿命电池还是短寿命电池。</w:t>
      </w:r>
      <w:r w:rsidR="008D56EF">
        <w:rPr>
          <w:rFonts w:ascii="Times New Roman" w:eastAsia="宋体" w:hAnsi="Times New Roman" w:hint="eastAsia"/>
          <w:sz w:val="24"/>
          <w:szCs w:val="24"/>
        </w:rPr>
        <w:t>而若</w:t>
      </w:r>
      <w:r w:rsidR="008D56EF">
        <w:rPr>
          <w:rFonts w:ascii="Times New Roman" w:eastAsia="宋体" w:hAnsi="Times New Roman" w:hint="eastAsia"/>
          <w:sz w:val="24"/>
          <w:szCs w:val="24"/>
        </w:rPr>
        <w:t>CNN</w:t>
      </w:r>
      <w:r w:rsidR="008D56EF">
        <w:rPr>
          <w:rFonts w:ascii="Times New Roman" w:eastAsia="宋体" w:hAnsi="Times New Roman" w:hint="eastAsia"/>
          <w:sz w:val="24"/>
          <w:szCs w:val="24"/>
        </w:rPr>
        <w:t>的预测结果落在长短寿命的分界线附近（本文取</w:t>
      </w:r>
      <w:r w:rsidR="008D56EF">
        <w:rPr>
          <w:rFonts w:ascii="Times New Roman" w:eastAsia="宋体" w:hAnsi="Times New Roman" w:hint="eastAsia"/>
          <w:sz w:val="24"/>
          <w:szCs w:val="24"/>
        </w:rPr>
        <w:t>1</w:t>
      </w:r>
      <w:r w:rsidR="008D56EF">
        <w:rPr>
          <w:rFonts w:ascii="Times New Roman" w:eastAsia="宋体" w:hAnsi="Times New Roman"/>
          <w:sz w:val="24"/>
          <w:szCs w:val="24"/>
        </w:rPr>
        <w:t xml:space="preserve">000 </w:t>
      </w:r>
      <w:r w:rsidR="008D56EF">
        <w:rPr>
          <w:rFonts w:ascii="Times New Roman" w:eastAsia="宋体" w:hAnsi="Times New Roman" w:hint="eastAsia"/>
          <w:sz w:val="24"/>
          <w:szCs w:val="24"/>
        </w:rPr>
        <w:t>CYC</w:t>
      </w:r>
      <w:r w:rsidR="008D56EF">
        <w:rPr>
          <w:rFonts w:ascii="Times New Roman" w:eastAsia="宋体" w:hAnsi="Times New Roman" w:hint="eastAsia"/>
          <w:sz w:val="24"/>
          <w:szCs w:val="24"/>
        </w:rPr>
        <w:t>），则使用长短寿命模型同时预测，并加权得到最终的预测结果。</w:t>
      </w:r>
      <w:r w:rsidR="008A59D5">
        <w:rPr>
          <w:rFonts w:ascii="Times New Roman" w:eastAsia="宋体" w:hAnsi="Times New Roman" w:hint="eastAsia"/>
          <w:sz w:val="24"/>
          <w:szCs w:val="24"/>
        </w:rPr>
        <w:t>这一整体流程如图</w:t>
      </w:r>
      <w:r w:rsidR="008A59D5">
        <w:rPr>
          <w:rFonts w:ascii="Times New Roman" w:eastAsia="宋体" w:hAnsi="Times New Roman" w:hint="eastAsia"/>
          <w:sz w:val="24"/>
          <w:szCs w:val="24"/>
        </w:rPr>
        <w:t>3</w:t>
      </w:r>
      <w:r w:rsidR="008A59D5">
        <w:rPr>
          <w:rFonts w:ascii="Times New Roman" w:eastAsia="宋体" w:hAnsi="Times New Roman" w:hint="eastAsia"/>
          <w:sz w:val="24"/>
          <w:szCs w:val="24"/>
        </w:rPr>
        <w:t>所示</w:t>
      </w:r>
      <w:r w:rsidR="00D308C2">
        <w:rPr>
          <w:rFonts w:ascii="Times New Roman" w:eastAsia="宋体" w:hAnsi="Times New Roman" w:hint="eastAsia"/>
          <w:sz w:val="24"/>
          <w:szCs w:val="24"/>
        </w:rPr>
        <w:t>。</w:t>
      </w:r>
    </w:p>
    <w:p w14:paraId="120E0008" w14:textId="0C2E3FF6" w:rsidR="00BE79A8" w:rsidRDefault="00F304A1" w:rsidP="007F1411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在图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所示的框架下，测试集的</w:t>
      </w:r>
      <w:r>
        <w:rPr>
          <w:rFonts w:ascii="Times New Roman" w:eastAsia="宋体" w:hAnsi="Times New Roman" w:hint="eastAsia"/>
          <w:sz w:val="24"/>
          <w:szCs w:val="24"/>
        </w:rPr>
        <w:t>MAPE</w:t>
      </w:r>
      <w:r>
        <w:rPr>
          <w:rFonts w:ascii="Times New Roman" w:eastAsia="宋体" w:hAnsi="Times New Roman" w:hint="eastAsia"/>
          <w:sz w:val="24"/>
          <w:szCs w:val="24"/>
        </w:rPr>
        <w:t>仅能达到</w:t>
      </w:r>
      <w:r w:rsidR="0082223C">
        <w:rPr>
          <w:rFonts w:ascii="Times New Roman" w:eastAsia="宋体" w:hAnsi="Times New Roman"/>
          <w:sz w:val="24"/>
          <w:szCs w:val="24"/>
        </w:rPr>
        <w:t>9.28</w:t>
      </w:r>
      <w:r>
        <w:rPr>
          <w:rFonts w:ascii="Times New Roman" w:eastAsia="宋体" w:hAnsi="Times New Roman" w:hint="eastAsia"/>
          <w:sz w:val="24"/>
          <w:szCs w:val="24"/>
        </w:rPr>
        <w:t>%</w:t>
      </w:r>
      <w:r w:rsidR="00963DF6">
        <w:rPr>
          <w:rFonts w:ascii="Times New Roman" w:eastAsia="宋体" w:hAnsi="Times New Roman" w:hint="eastAsia"/>
          <w:sz w:val="24"/>
          <w:szCs w:val="24"/>
        </w:rPr>
        <w:t>（参见</w:t>
      </w:r>
      <w:r w:rsidR="00963DF6">
        <w:rPr>
          <w:rFonts w:ascii="Times New Roman" w:eastAsia="宋体" w:hAnsi="Times New Roman" w:hint="eastAsia"/>
          <w:sz w:val="24"/>
          <w:szCs w:val="24"/>
        </w:rPr>
        <w:t>d</w:t>
      </w:r>
      <w:r w:rsidR="00963DF6">
        <w:rPr>
          <w:rFonts w:ascii="Times New Roman" w:eastAsia="宋体" w:hAnsi="Times New Roman"/>
          <w:sz w:val="24"/>
          <w:szCs w:val="24"/>
        </w:rPr>
        <w:t>ouble_</w:t>
      </w:r>
      <w:r w:rsidR="00963DF6">
        <w:rPr>
          <w:rFonts w:ascii="Times New Roman" w:eastAsia="宋体" w:hAnsi="Times New Roman" w:hint="eastAsia"/>
          <w:sz w:val="24"/>
          <w:szCs w:val="24"/>
        </w:rPr>
        <w:t>model</w:t>
      </w:r>
      <w:r w:rsidR="00963DF6">
        <w:rPr>
          <w:rFonts w:ascii="Times New Roman" w:eastAsia="宋体" w:hAnsi="Times New Roman"/>
          <w:sz w:val="24"/>
          <w:szCs w:val="24"/>
        </w:rPr>
        <w:t>_</w:t>
      </w:r>
      <w:r w:rsidR="00963DF6">
        <w:rPr>
          <w:rFonts w:ascii="Times New Roman" w:eastAsia="宋体" w:hAnsi="Times New Roman" w:hint="eastAsia"/>
          <w:sz w:val="24"/>
          <w:szCs w:val="24"/>
        </w:rPr>
        <w:t>real</w:t>
      </w:r>
      <w:r w:rsidR="00963DF6">
        <w:rPr>
          <w:rFonts w:ascii="Times New Roman" w:eastAsia="宋体" w:hAnsi="Times New Roman"/>
          <w:sz w:val="24"/>
          <w:szCs w:val="24"/>
        </w:rPr>
        <w:t>.py</w:t>
      </w:r>
      <w:r w:rsidR="00963DF6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B6001D">
        <w:rPr>
          <w:rFonts w:ascii="Times New Roman" w:eastAsia="宋体" w:hAnsi="Times New Roman" w:hint="eastAsia"/>
          <w:sz w:val="24"/>
          <w:szCs w:val="24"/>
        </w:rPr>
        <w:t>即初步寿命估计模型的设计依然不够准确，导致无法实际达到表</w:t>
      </w:r>
      <w:r w:rsidR="00B6001D">
        <w:rPr>
          <w:rFonts w:ascii="Times New Roman" w:eastAsia="宋体" w:hAnsi="Times New Roman" w:hint="eastAsia"/>
          <w:sz w:val="24"/>
          <w:szCs w:val="24"/>
        </w:rPr>
        <w:t>4</w:t>
      </w:r>
      <w:r w:rsidR="00B6001D">
        <w:rPr>
          <w:rFonts w:ascii="Times New Roman" w:eastAsia="宋体" w:hAnsi="Times New Roman" w:hint="eastAsia"/>
          <w:sz w:val="24"/>
          <w:szCs w:val="24"/>
        </w:rPr>
        <w:t>的高精度。</w:t>
      </w:r>
      <w:r w:rsidR="00174D4F">
        <w:rPr>
          <w:rFonts w:ascii="Times New Roman" w:eastAsia="宋体" w:hAnsi="Times New Roman" w:hint="eastAsia"/>
          <w:sz w:val="24"/>
          <w:szCs w:val="24"/>
        </w:rPr>
        <w:t>但这仍比仅使用单个弹性网络的方法具有更高的精度</w:t>
      </w:r>
      <w:r w:rsidR="008E0BE1">
        <w:rPr>
          <w:rFonts w:ascii="Times New Roman" w:eastAsia="宋体" w:hAnsi="Times New Roman" w:hint="eastAsia"/>
          <w:sz w:val="24"/>
          <w:szCs w:val="24"/>
        </w:rPr>
        <w:t>（虽然原文中给出的最优测试集精度为</w:t>
      </w:r>
      <w:r w:rsidR="008E0BE1">
        <w:rPr>
          <w:rFonts w:ascii="Times New Roman" w:eastAsia="宋体" w:hAnsi="Times New Roman" w:hint="eastAsia"/>
          <w:sz w:val="24"/>
          <w:szCs w:val="24"/>
        </w:rPr>
        <w:t>9</w:t>
      </w:r>
      <w:r w:rsidR="008E0BE1">
        <w:rPr>
          <w:rFonts w:ascii="Times New Roman" w:eastAsia="宋体" w:hAnsi="Times New Roman"/>
          <w:sz w:val="24"/>
          <w:szCs w:val="24"/>
        </w:rPr>
        <w:t>.1</w:t>
      </w:r>
      <w:r w:rsidR="008E0BE1">
        <w:rPr>
          <w:rFonts w:ascii="Times New Roman" w:eastAsia="宋体" w:hAnsi="Times New Roman" w:hint="eastAsia"/>
          <w:sz w:val="24"/>
          <w:szCs w:val="24"/>
        </w:rPr>
        <w:t>%</w:t>
      </w:r>
      <w:r w:rsidR="008E0BE1">
        <w:rPr>
          <w:rFonts w:ascii="Times New Roman" w:eastAsia="宋体" w:hAnsi="Times New Roman" w:hint="eastAsia"/>
          <w:sz w:val="24"/>
          <w:szCs w:val="24"/>
        </w:rPr>
        <w:t>，但我们组用单个弹性网络所能复现出的最高精度仅有</w:t>
      </w:r>
      <w:r w:rsidR="000F50D3">
        <w:rPr>
          <w:rFonts w:ascii="Times New Roman" w:eastAsia="宋体" w:hAnsi="Times New Roman" w:hint="eastAsia"/>
          <w:sz w:val="24"/>
          <w:szCs w:val="24"/>
        </w:rPr>
        <w:t>1</w:t>
      </w:r>
      <w:r w:rsidR="0054328C">
        <w:rPr>
          <w:rFonts w:ascii="Times New Roman" w:eastAsia="宋体" w:hAnsi="Times New Roman"/>
          <w:sz w:val="24"/>
          <w:szCs w:val="24"/>
        </w:rPr>
        <w:t>2</w:t>
      </w:r>
      <w:r w:rsidR="000F50D3">
        <w:rPr>
          <w:rFonts w:ascii="Times New Roman" w:eastAsia="宋体" w:hAnsi="Times New Roman" w:hint="eastAsia"/>
          <w:sz w:val="24"/>
          <w:szCs w:val="24"/>
        </w:rPr>
        <w:t>%</w:t>
      </w:r>
      <w:r w:rsidR="000F50D3">
        <w:rPr>
          <w:rFonts w:ascii="Times New Roman" w:eastAsia="宋体" w:hAnsi="Times New Roman" w:hint="eastAsia"/>
          <w:sz w:val="24"/>
          <w:szCs w:val="24"/>
        </w:rPr>
        <w:t>左右</w:t>
      </w:r>
      <w:r w:rsidR="005F14E2">
        <w:rPr>
          <w:rFonts w:ascii="Times New Roman" w:eastAsia="宋体" w:hAnsi="Times New Roman" w:hint="eastAsia"/>
          <w:sz w:val="24"/>
          <w:szCs w:val="24"/>
        </w:rPr>
        <w:t>，详见</w:t>
      </w:r>
      <w:r w:rsidR="005F14E2">
        <w:rPr>
          <w:rFonts w:ascii="Times New Roman" w:eastAsia="宋体" w:hAnsi="Times New Roman" w:hint="eastAsia"/>
          <w:sz w:val="24"/>
          <w:szCs w:val="24"/>
        </w:rPr>
        <w:t>Elanet</w:t>
      </w:r>
      <w:r w:rsidR="005F14E2">
        <w:rPr>
          <w:rFonts w:ascii="Times New Roman" w:eastAsia="宋体" w:hAnsi="Times New Roman"/>
          <w:sz w:val="24"/>
          <w:szCs w:val="24"/>
        </w:rPr>
        <w:t>.py</w:t>
      </w:r>
      <w:r w:rsidR="008E0BE1">
        <w:rPr>
          <w:rFonts w:ascii="Times New Roman" w:eastAsia="宋体" w:hAnsi="Times New Roman" w:hint="eastAsia"/>
          <w:sz w:val="24"/>
          <w:szCs w:val="24"/>
        </w:rPr>
        <w:t>）</w:t>
      </w:r>
      <w:r w:rsidR="00284F17">
        <w:rPr>
          <w:rFonts w:ascii="Times New Roman" w:eastAsia="宋体" w:hAnsi="Times New Roman" w:hint="eastAsia"/>
          <w:sz w:val="24"/>
          <w:szCs w:val="24"/>
        </w:rPr>
        <w:t>，即使将短寿命模型</w:t>
      </w:r>
      <w:r w:rsidR="009D166E">
        <w:rPr>
          <w:rFonts w:ascii="Times New Roman" w:eastAsia="宋体" w:hAnsi="Times New Roman" w:hint="eastAsia"/>
          <w:sz w:val="24"/>
          <w:szCs w:val="24"/>
        </w:rPr>
        <w:t>的</w:t>
      </w:r>
      <w:r w:rsidR="009D166E">
        <w:rPr>
          <w:rFonts w:ascii="Times New Roman" w:eastAsia="宋体" w:hAnsi="Times New Roman" w:hint="eastAsia"/>
          <w:sz w:val="24"/>
          <w:szCs w:val="24"/>
        </w:rPr>
        <w:t>CNN</w:t>
      </w:r>
      <w:r w:rsidR="00567235">
        <w:rPr>
          <w:rFonts w:ascii="Times New Roman" w:eastAsia="宋体" w:hAnsi="Times New Roman" w:hint="eastAsia"/>
          <w:sz w:val="24"/>
          <w:szCs w:val="24"/>
        </w:rPr>
        <w:t>也</w:t>
      </w:r>
      <w:r w:rsidR="00284F17">
        <w:rPr>
          <w:rFonts w:ascii="Times New Roman" w:eastAsia="宋体" w:hAnsi="Times New Roman" w:hint="eastAsia"/>
          <w:sz w:val="24"/>
          <w:szCs w:val="24"/>
        </w:rPr>
        <w:t>替换为简单的弹性网络</w:t>
      </w:r>
      <w:r w:rsidR="00024F4B">
        <w:rPr>
          <w:rFonts w:ascii="Times New Roman" w:eastAsia="宋体" w:hAnsi="Times New Roman" w:hint="eastAsia"/>
          <w:sz w:val="24"/>
          <w:szCs w:val="24"/>
        </w:rPr>
        <w:t>也是如此（</w:t>
      </w:r>
      <w:r w:rsidR="00567235">
        <w:rPr>
          <w:rFonts w:ascii="Times New Roman" w:eastAsia="宋体" w:hAnsi="Times New Roman" w:hint="eastAsia"/>
          <w:sz w:val="24"/>
          <w:szCs w:val="24"/>
        </w:rPr>
        <w:t>1</w:t>
      </w:r>
      <w:r w:rsidR="00567235">
        <w:rPr>
          <w:rFonts w:ascii="Times New Roman" w:eastAsia="宋体" w:hAnsi="Times New Roman"/>
          <w:sz w:val="24"/>
          <w:szCs w:val="24"/>
        </w:rPr>
        <w:t>0.26</w:t>
      </w:r>
      <w:r w:rsidR="00567235">
        <w:rPr>
          <w:rFonts w:ascii="Times New Roman" w:eastAsia="宋体" w:hAnsi="Times New Roman" w:hint="eastAsia"/>
          <w:sz w:val="24"/>
          <w:szCs w:val="24"/>
        </w:rPr>
        <w:t>%</w:t>
      </w:r>
      <w:r w:rsidR="00567235">
        <w:rPr>
          <w:rFonts w:ascii="Times New Roman" w:eastAsia="宋体" w:hAnsi="Times New Roman" w:hint="eastAsia"/>
          <w:sz w:val="24"/>
          <w:szCs w:val="24"/>
        </w:rPr>
        <w:t>的</w:t>
      </w:r>
      <w:r w:rsidR="00567235">
        <w:rPr>
          <w:rFonts w:ascii="Times New Roman" w:eastAsia="宋体" w:hAnsi="Times New Roman" w:hint="eastAsia"/>
          <w:sz w:val="24"/>
          <w:szCs w:val="24"/>
        </w:rPr>
        <w:t>MAPE</w:t>
      </w:r>
      <w:r w:rsidR="00024F4B">
        <w:rPr>
          <w:rFonts w:ascii="Times New Roman" w:eastAsia="宋体" w:hAnsi="Times New Roman" w:hint="eastAsia"/>
          <w:sz w:val="24"/>
          <w:szCs w:val="24"/>
        </w:rPr>
        <w:t>）</w:t>
      </w:r>
      <w:r w:rsidR="00174D4F">
        <w:rPr>
          <w:rFonts w:ascii="Times New Roman" w:eastAsia="宋体" w:hAnsi="Times New Roman" w:hint="eastAsia"/>
          <w:sz w:val="24"/>
          <w:szCs w:val="24"/>
        </w:rPr>
        <w:t>。</w:t>
      </w:r>
    </w:p>
    <w:p w14:paraId="0B27CBAB" w14:textId="78047751" w:rsidR="00F304A1" w:rsidRDefault="001F78B8" w:rsidP="00BE79A8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后续可考虑改进初步分类模型的设计</w:t>
      </w:r>
      <w:r w:rsidR="009C50FB">
        <w:rPr>
          <w:rFonts w:ascii="Times New Roman" w:eastAsia="宋体" w:hAnsi="Times New Roman" w:hint="eastAsia"/>
          <w:sz w:val="24"/>
          <w:szCs w:val="24"/>
        </w:rPr>
        <w:t>，例如通过集成学习的方法获取电池为长寿命或短寿命的概率分布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D20D045" w14:textId="74E881C2" w:rsidR="009352B4" w:rsidRDefault="00042E64" w:rsidP="001E45E1">
      <w:pPr>
        <w:spacing w:line="30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C6E438" wp14:editId="36733B44">
            <wp:extent cx="4047658" cy="25048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238" cy="25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0D58" w14:textId="2F32548B" w:rsidR="00E3701C" w:rsidRPr="000D06A2" w:rsidRDefault="001E45E1" w:rsidP="000D06A2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D06A2">
        <w:rPr>
          <w:rFonts w:ascii="Times New Roman" w:eastAsia="宋体" w:hAnsi="Times New Roman" w:hint="eastAsia"/>
          <w:szCs w:val="21"/>
        </w:rPr>
        <w:t>图</w:t>
      </w:r>
      <w:r w:rsidRPr="000D06A2">
        <w:rPr>
          <w:rFonts w:ascii="Times New Roman" w:eastAsia="宋体" w:hAnsi="Times New Roman" w:hint="eastAsia"/>
          <w:szCs w:val="21"/>
        </w:rPr>
        <w:t>3</w:t>
      </w:r>
      <w:r w:rsidRPr="000D06A2">
        <w:rPr>
          <w:rFonts w:ascii="Times New Roman" w:eastAsia="宋体" w:hAnsi="Times New Roman"/>
          <w:szCs w:val="21"/>
        </w:rPr>
        <w:t xml:space="preserve"> </w:t>
      </w:r>
      <w:r w:rsidRPr="000D06A2">
        <w:rPr>
          <w:rFonts w:ascii="Times New Roman" w:eastAsia="宋体" w:hAnsi="Times New Roman" w:hint="eastAsia"/>
          <w:szCs w:val="21"/>
        </w:rPr>
        <w:t>双模型法的整体框图</w:t>
      </w:r>
    </w:p>
    <w:p w14:paraId="41BBFF6F" w14:textId="12356EC2" w:rsidR="004062DA" w:rsidRDefault="00C57F17" w:rsidP="009C50FB">
      <w:pPr>
        <w:pStyle w:val="1"/>
      </w:pPr>
      <w:r>
        <w:rPr>
          <w:rFonts w:hint="eastAsia"/>
        </w:rPr>
        <w:t>参考文献</w:t>
      </w:r>
    </w:p>
    <w:p w14:paraId="0F745A77" w14:textId="440BCAC1" w:rsidR="00F84159" w:rsidRPr="00F66C83" w:rsidRDefault="000F2315" w:rsidP="00F84159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bookmarkStart w:id="0" w:name="_Ref110019684"/>
      <w:r w:rsidRPr="00F66C83">
        <w:rPr>
          <w:rFonts w:ascii="Times New Roman" w:eastAsia="宋体" w:hAnsi="Times New Roman"/>
          <w:sz w:val="24"/>
          <w:szCs w:val="24"/>
        </w:rPr>
        <w:t>Saxena S, Ward L, Kubal J, et al. A convolutional neural network model for battery capacity fade curve prediction using early life data[J]. Journal of Power Sources, 2022, 542: 231736.</w:t>
      </w:r>
      <w:bookmarkEnd w:id="0"/>
    </w:p>
    <w:p w14:paraId="2FE51944" w14:textId="77777777" w:rsidR="00F84159" w:rsidRPr="00F84159" w:rsidRDefault="00F84159" w:rsidP="00F84159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sectPr w:rsidR="00F84159" w:rsidRPr="00F8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9BBA" w14:textId="77777777" w:rsidR="00EE1028" w:rsidRDefault="00EE1028" w:rsidP="00023578">
      <w:r>
        <w:separator/>
      </w:r>
    </w:p>
  </w:endnote>
  <w:endnote w:type="continuationSeparator" w:id="0">
    <w:p w14:paraId="1E573DF3" w14:textId="77777777" w:rsidR="00EE1028" w:rsidRDefault="00EE1028" w:rsidP="0002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715E" w14:textId="77777777" w:rsidR="00EE1028" w:rsidRDefault="00EE1028" w:rsidP="00023578">
      <w:r>
        <w:separator/>
      </w:r>
    </w:p>
  </w:footnote>
  <w:footnote w:type="continuationSeparator" w:id="0">
    <w:p w14:paraId="1EAD403B" w14:textId="77777777" w:rsidR="00EE1028" w:rsidRDefault="00EE1028" w:rsidP="00023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0E8F"/>
    <w:multiLevelType w:val="hybridMultilevel"/>
    <w:tmpl w:val="095C7764"/>
    <w:lvl w:ilvl="0" w:tplc="B00C39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17080"/>
    <w:multiLevelType w:val="hybridMultilevel"/>
    <w:tmpl w:val="E2CEB158"/>
    <w:lvl w:ilvl="0" w:tplc="EE0C01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DE4E37"/>
    <w:multiLevelType w:val="hybridMultilevel"/>
    <w:tmpl w:val="FDC86582"/>
    <w:lvl w:ilvl="0" w:tplc="81E83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6C7B3A"/>
    <w:multiLevelType w:val="hybridMultilevel"/>
    <w:tmpl w:val="703075D8"/>
    <w:lvl w:ilvl="0" w:tplc="2674942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3881307">
    <w:abstractNumId w:val="0"/>
  </w:num>
  <w:num w:numId="2" w16cid:durableId="112552818">
    <w:abstractNumId w:val="2"/>
  </w:num>
  <w:num w:numId="3" w16cid:durableId="724180956">
    <w:abstractNumId w:val="1"/>
  </w:num>
  <w:num w:numId="4" w16cid:durableId="296448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E5"/>
    <w:rsid w:val="0001107B"/>
    <w:rsid w:val="00023578"/>
    <w:rsid w:val="00024F4B"/>
    <w:rsid w:val="00027E26"/>
    <w:rsid w:val="0003555B"/>
    <w:rsid w:val="00042E64"/>
    <w:rsid w:val="00073D84"/>
    <w:rsid w:val="00080CCA"/>
    <w:rsid w:val="00090BE2"/>
    <w:rsid w:val="00096829"/>
    <w:rsid w:val="000D06A2"/>
    <w:rsid w:val="000D1341"/>
    <w:rsid w:val="000F2315"/>
    <w:rsid w:val="000F4B05"/>
    <w:rsid w:val="000F50D3"/>
    <w:rsid w:val="000F512A"/>
    <w:rsid w:val="00122A81"/>
    <w:rsid w:val="00160B44"/>
    <w:rsid w:val="00173835"/>
    <w:rsid w:val="00174D4F"/>
    <w:rsid w:val="001A1016"/>
    <w:rsid w:val="001A6885"/>
    <w:rsid w:val="001B3C41"/>
    <w:rsid w:val="001C082E"/>
    <w:rsid w:val="001E45E1"/>
    <w:rsid w:val="001E6738"/>
    <w:rsid w:val="001F0F19"/>
    <w:rsid w:val="001F6A5D"/>
    <w:rsid w:val="001F78B8"/>
    <w:rsid w:val="00206BF6"/>
    <w:rsid w:val="002228EB"/>
    <w:rsid w:val="002271DE"/>
    <w:rsid w:val="00233288"/>
    <w:rsid w:val="00236D3D"/>
    <w:rsid w:val="00243A12"/>
    <w:rsid w:val="00247179"/>
    <w:rsid w:val="00256890"/>
    <w:rsid w:val="00265E05"/>
    <w:rsid w:val="00276074"/>
    <w:rsid w:val="00284F17"/>
    <w:rsid w:val="002C32B3"/>
    <w:rsid w:val="0030705B"/>
    <w:rsid w:val="00314BDE"/>
    <w:rsid w:val="003201E2"/>
    <w:rsid w:val="00345BC3"/>
    <w:rsid w:val="00350D6A"/>
    <w:rsid w:val="003773F6"/>
    <w:rsid w:val="00392ADE"/>
    <w:rsid w:val="00395D35"/>
    <w:rsid w:val="003A6719"/>
    <w:rsid w:val="003C0A57"/>
    <w:rsid w:val="003D7A6C"/>
    <w:rsid w:val="003E3085"/>
    <w:rsid w:val="003E5E36"/>
    <w:rsid w:val="004028D5"/>
    <w:rsid w:val="004062DA"/>
    <w:rsid w:val="00417D9D"/>
    <w:rsid w:val="00426513"/>
    <w:rsid w:val="00431055"/>
    <w:rsid w:val="00443776"/>
    <w:rsid w:val="00452CF6"/>
    <w:rsid w:val="00454A67"/>
    <w:rsid w:val="00456F6F"/>
    <w:rsid w:val="00472E48"/>
    <w:rsid w:val="00473C0F"/>
    <w:rsid w:val="004A521A"/>
    <w:rsid w:val="004D62B4"/>
    <w:rsid w:val="004F6C7A"/>
    <w:rsid w:val="00501DD4"/>
    <w:rsid w:val="00507845"/>
    <w:rsid w:val="00507EC0"/>
    <w:rsid w:val="005143A9"/>
    <w:rsid w:val="0052429A"/>
    <w:rsid w:val="00524B07"/>
    <w:rsid w:val="0053734B"/>
    <w:rsid w:val="005413E4"/>
    <w:rsid w:val="0054328C"/>
    <w:rsid w:val="00545667"/>
    <w:rsid w:val="0054752F"/>
    <w:rsid w:val="00567065"/>
    <w:rsid w:val="00567235"/>
    <w:rsid w:val="0057193E"/>
    <w:rsid w:val="00574B4F"/>
    <w:rsid w:val="00580340"/>
    <w:rsid w:val="005A3A74"/>
    <w:rsid w:val="005A7565"/>
    <w:rsid w:val="005B6A38"/>
    <w:rsid w:val="005B6BD4"/>
    <w:rsid w:val="005C13D0"/>
    <w:rsid w:val="005D3E95"/>
    <w:rsid w:val="005D458C"/>
    <w:rsid w:val="005D4E6B"/>
    <w:rsid w:val="005F12A0"/>
    <w:rsid w:val="005F14E2"/>
    <w:rsid w:val="00600C28"/>
    <w:rsid w:val="00606C7C"/>
    <w:rsid w:val="006139D3"/>
    <w:rsid w:val="00624165"/>
    <w:rsid w:val="0062561D"/>
    <w:rsid w:val="00625FD4"/>
    <w:rsid w:val="00630AA3"/>
    <w:rsid w:val="00655F90"/>
    <w:rsid w:val="006A34D6"/>
    <w:rsid w:val="00710F44"/>
    <w:rsid w:val="0072146F"/>
    <w:rsid w:val="00765624"/>
    <w:rsid w:val="00775A66"/>
    <w:rsid w:val="007A0E07"/>
    <w:rsid w:val="007A64E5"/>
    <w:rsid w:val="007B7672"/>
    <w:rsid w:val="007D3F47"/>
    <w:rsid w:val="007E4614"/>
    <w:rsid w:val="007F1411"/>
    <w:rsid w:val="00817FE6"/>
    <w:rsid w:val="0082223C"/>
    <w:rsid w:val="00824A5E"/>
    <w:rsid w:val="00884175"/>
    <w:rsid w:val="008A59D5"/>
    <w:rsid w:val="008C0547"/>
    <w:rsid w:val="008D56EF"/>
    <w:rsid w:val="008E0BE1"/>
    <w:rsid w:val="00901577"/>
    <w:rsid w:val="00903E8D"/>
    <w:rsid w:val="009352B4"/>
    <w:rsid w:val="009416A8"/>
    <w:rsid w:val="00963DF6"/>
    <w:rsid w:val="009A0F9B"/>
    <w:rsid w:val="009B7634"/>
    <w:rsid w:val="009C50FB"/>
    <w:rsid w:val="009D07FC"/>
    <w:rsid w:val="009D166E"/>
    <w:rsid w:val="009F4A4C"/>
    <w:rsid w:val="00A14159"/>
    <w:rsid w:val="00A41EEE"/>
    <w:rsid w:val="00A4793E"/>
    <w:rsid w:val="00A55830"/>
    <w:rsid w:val="00A55C0A"/>
    <w:rsid w:val="00A715C8"/>
    <w:rsid w:val="00A91209"/>
    <w:rsid w:val="00A934F0"/>
    <w:rsid w:val="00AA52F0"/>
    <w:rsid w:val="00AB0748"/>
    <w:rsid w:val="00AB26FE"/>
    <w:rsid w:val="00AC00C7"/>
    <w:rsid w:val="00AD2187"/>
    <w:rsid w:val="00B11641"/>
    <w:rsid w:val="00B26187"/>
    <w:rsid w:val="00B3144D"/>
    <w:rsid w:val="00B6001D"/>
    <w:rsid w:val="00B7580A"/>
    <w:rsid w:val="00B86B28"/>
    <w:rsid w:val="00BA2280"/>
    <w:rsid w:val="00BA7817"/>
    <w:rsid w:val="00BB28B7"/>
    <w:rsid w:val="00BE79A8"/>
    <w:rsid w:val="00C022B3"/>
    <w:rsid w:val="00C06907"/>
    <w:rsid w:val="00C074DC"/>
    <w:rsid w:val="00C15849"/>
    <w:rsid w:val="00C542B5"/>
    <w:rsid w:val="00C54ECB"/>
    <w:rsid w:val="00C57F17"/>
    <w:rsid w:val="00C62258"/>
    <w:rsid w:val="00C92843"/>
    <w:rsid w:val="00C97789"/>
    <w:rsid w:val="00CA1973"/>
    <w:rsid w:val="00CB5818"/>
    <w:rsid w:val="00CB5BEC"/>
    <w:rsid w:val="00CB60D7"/>
    <w:rsid w:val="00CC4765"/>
    <w:rsid w:val="00D0578D"/>
    <w:rsid w:val="00D0746E"/>
    <w:rsid w:val="00D308C2"/>
    <w:rsid w:val="00D41E45"/>
    <w:rsid w:val="00D462E1"/>
    <w:rsid w:val="00D5429E"/>
    <w:rsid w:val="00D71CCD"/>
    <w:rsid w:val="00D74DCC"/>
    <w:rsid w:val="00D77343"/>
    <w:rsid w:val="00DA37D6"/>
    <w:rsid w:val="00DA3836"/>
    <w:rsid w:val="00DD630D"/>
    <w:rsid w:val="00DF0E32"/>
    <w:rsid w:val="00E21138"/>
    <w:rsid w:val="00E3701C"/>
    <w:rsid w:val="00E614AD"/>
    <w:rsid w:val="00E74410"/>
    <w:rsid w:val="00E94B18"/>
    <w:rsid w:val="00E95713"/>
    <w:rsid w:val="00EA24CC"/>
    <w:rsid w:val="00EA3A28"/>
    <w:rsid w:val="00EC4156"/>
    <w:rsid w:val="00ED2C1B"/>
    <w:rsid w:val="00EE1028"/>
    <w:rsid w:val="00EF1307"/>
    <w:rsid w:val="00EF407A"/>
    <w:rsid w:val="00EF6398"/>
    <w:rsid w:val="00EF7109"/>
    <w:rsid w:val="00F069DE"/>
    <w:rsid w:val="00F304A1"/>
    <w:rsid w:val="00F52278"/>
    <w:rsid w:val="00F626BE"/>
    <w:rsid w:val="00F66C83"/>
    <w:rsid w:val="00F73DCB"/>
    <w:rsid w:val="00F84159"/>
    <w:rsid w:val="00F976E4"/>
    <w:rsid w:val="00FA0B52"/>
    <w:rsid w:val="00FA1347"/>
    <w:rsid w:val="00FB40CD"/>
    <w:rsid w:val="00FC6CC0"/>
    <w:rsid w:val="00FD5E6A"/>
    <w:rsid w:val="00FE11C6"/>
    <w:rsid w:val="00F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BF094"/>
  <w15:chartTrackingRefBased/>
  <w15:docId w15:val="{84647B15-08C9-447C-9B75-C0C62DC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4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159"/>
    <w:pPr>
      <w:keepNext/>
      <w:keepLines/>
      <w:spacing w:before="20" w:after="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159"/>
    <w:rPr>
      <w:b/>
      <w:bCs/>
      <w:kern w:val="44"/>
      <w:sz w:val="28"/>
      <w:szCs w:val="44"/>
    </w:rPr>
  </w:style>
  <w:style w:type="table" w:styleId="a3">
    <w:name w:val="Table Grid"/>
    <w:basedOn w:val="a1"/>
    <w:uiPriority w:val="39"/>
    <w:rsid w:val="00C97789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24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42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3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35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3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3578"/>
    <w:rPr>
      <w:sz w:val="18"/>
      <w:szCs w:val="18"/>
    </w:rPr>
  </w:style>
  <w:style w:type="character" w:customStyle="1" w:styleId="MTEquationSection">
    <w:name w:val="MTEquationSection"/>
    <w:basedOn w:val="a0"/>
    <w:rsid w:val="00F626BE"/>
    <w:rPr>
      <w:rFonts w:ascii="Times New Roman" w:eastAsia="宋体" w:hAnsi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F626BE"/>
    <w:pPr>
      <w:tabs>
        <w:tab w:val="center" w:pos="4160"/>
        <w:tab w:val="right" w:pos="8300"/>
      </w:tabs>
      <w:spacing w:line="300" w:lineRule="auto"/>
    </w:pPr>
    <w:rPr>
      <w:rFonts w:ascii="Times New Roman" w:eastAsia="宋体" w:hAnsi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F626BE"/>
    <w:rPr>
      <w:rFonts w:ascii="Times New Roman" w:eastAsia="宋体" w:hAnsi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A41E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41E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彦博</dc:creator>
  <cp:keywords/>
  <dc:description/>
  <cp:lastModifiedBy>贾 彦博</cp:lastModifiedBy>
  <cp:revision>281</cp:revision>
  <dcterms:created xsi:type="dcterms:W3CDTF">2022-07-29T09:11:00Z</dcterms:created>
  <dcterms:modified xsi:type="dcterms:W3CDTF">2022-07-31T05:39:00Z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