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Cs/>
          <w:b/>
        </w:rPr>
        <w:t xml:space="preserve">Чтобы создать заголовок, используйте знак ( # ), например:</w:t>
      </w:r>
    </w:p>
    <w:p>
      <w:pPr>
        <w:pStyle w:val="SourceCode"/>
      </w:pPr>
      <w:r>
        <w:rPr>
          <w:rStyle w:val="VerbatimChar"/>
        </w:rPr>
        <w:t xml:space="preserve">- # This is heading 1</w:t>
      </w:r>
      <w:r>
        <w:br/>
      </w:r>
      <w:r>
        <w:rPr>
          <w:rStyle w:val="VerbatimChar"/>
        </w:rPr>
        <w:t xml:space="preserve">- ## This is heading 2</w:t>
      </w:r>
      <w:r>
        <w:br/>
      </w:r>
      <w:r>
        <w:rPr>
          <w:rStyle w:val="VerbatimChar"/>
        </w:rPr>
        <w:t xml:space="preserve">- ### This is heading 3</w:t>
      </w:r>
      <w:r>
        <w:br/>
      </w:r>
      <w:r>
        <w:rPr>
          <w:rStyle w:val="VerbatimChar"/>
        </w:rPr>
        <w:t xml:space="preserve">- #### This is heading 4</w:t>
      </w:r>
    </w:p>
    <w:p>
      <w:pPr>
        <w:pStyle w:val="FirstParagraph"/>
      </w:pPr>
      <w:r>
        <w:t xml:space="preserve">К примеру я это использовал чтобы задать заголовки и подзаголовки во время работы над 2-ой лабораторной</w:t>
      </w:r>
    </w:p>
    <w:p>
      <w:pPr>
        <w:pStyle w:val="CaptionedFigure"/>
      </w:pPr>
      <w:r>
        <w:drawing>
          <wp:inline>
            <wp:extent cx="3821229" cy="1434164"/>
            <wp:effectExtent b="0" l="0" r="0" t="0"/>
            <wp:docPr descr="Рис 2.1.1: Пример заголовка и подзаголовка в моей работе" title="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Пример заголовка и подзаголовка в моей работе</w:t>
      </w:r>
    </w:p>
    <w:p>
      <w:pPr>
        <w:pStyle w:val="BodyText"/>
      </w:pPr>
      <w:r>
        <w:rPr>
          <w:bCs/>
          <w:b/>
        </w:rP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В отчете иногда приходилось выделить какую-то подтему и я использовал двойные звездочки</w:t>
      </w:r>
    </w:p>
    <w:p>
      <w:pPr>
        <w:pStyle w:val="CaptionedFigure"/>
      </w:pPr>
      <w:r>
        <w:drawing>
          <wp:inline>
            <wp:extent cx="5334000" cy="1591310"/>
            <wp:effectExtent b="0" l="0" r="0" t="0"/>
            <wp:docPr descr="Рис 2.1.2: Демонстрация выделения с помощью полужирного начертания" title="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выделения с помощью полужирного начертания</w:t>
      </w:r>
    </w:p>
    <w:p>
      <w:pPr>
        <w:pStyle w:val="BodyText"/>
      </w:pPr>
      <w:r>
        <w:rPr>
          <w:bCs/>
          <w:b/>
        </w:rPr>
        <w:t xml:space="preserve">Чтобы задать для текста курсивное начертание, заключите его в одинарные звездочки.</w:t>
      </w:r>
    </w:p>
    <w:p>
      <w:pPr>
        <w:pStyle w:val="BodyText"/>
      </w:pPr>
      <w:r>
        <w:t xml:space="preserve">Один из примеров в моем отчете:</w:t>
      </w:r>
    </w:p>
    <w:p>
      <w:pPr>
        <w:pStyle w:val="CaptionedFigure"/>
      </w:pPr>
      <w:r>
        <w:drawing>
          <wp:inline>
            <wp:extent cx="4658627" cy="1761423"/>
            <wp:effectExtent b="0" l="0" r="0" t="0"/>
            <wp:docPr descr="Рис 2.1.3: Демонстрация выделения с помощью курсива" title="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Демонстрация выделения с помощью курсива</w:t>
      </w:r>
    </w:p>
    <w:p>
      <w:pPr>
        <w:pStyle w:val="BodyText"/>
      </w:pPr>
      <w:r>
        <w:rPr>
          <w:iCs/>
          <w:i/>
          <w:bCs/>
          <w:b/>
        </w:rPr>
        <w:t xml:space="preserve">Чтобы задать для текста полужирное и курсивное начертание, заключите его 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Данное выделение я не использовал, но на заметку возьму.</w:t>
      </w:r>
      <w:r>
        <w:t xml:space="preserve"> </w:t>
      </w:r>
      <w:r>
        <w:t xml:space="preserve">К примеру таким образом можно выделить задания или что-то подобное</w:t>
      </w:r>
    </w:p>
    <w:p>
      <w:pPr>
        <w:pStyle w:val="CaptionedFigure"/>
      </w:pPr>
      <w:r>
        <w:drawing>
          <wp:inline>
            <wp:extent cx="5334000" cy="763803"/>
            <wp:effectExtent b="0" l="0" r="0" t="0"/>
            <wp:docPr descr="Рис 2.1.4: Демонстрация выделения части текста" title="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Демонстрация выделения части текста</w:t>
      </w:r>
    </w:p>
    <w:p>
      <w:pPr>
        <w:pStyle w:val="BodyText"/>
      </w:pPr>
      <w:r>
        <w:rPr>
          <w:bCs/>
          <w:b/>
        </w:rPr>
        <w:t xml:space="preserve">Блоки цитирования создаются с помощью символа &gt;:</w:t>
      </w:r>
    </w:p>
    <w:p>
      <w:pPr>
        <w:pStyle w:val="BodyText"/>
      </w:pPr>
      <w:r>
        <w:t xml:space="preserve">1 &gt; The drought had lasted now for ten million years, and the reign of</w:t>
      </w:r>
      <w:r>
        <w:t xml:space="preserve"> </w:t>
      </w:r>
      <w:r>
        <w:t xml:space="preserve">the terrible lizards had long since ended. Here on the Equator, in</w:t>
      </w:r>
      <w:r>
        <w:t xml:space="preserve"> </w:t>
      </w:r>
      <w:r>
        <w:t xml:space="preserve">the continent which would one day be known as Africa, the battle</w:t>
      </w:r>
      <w:r>
        <w:t xml:space="preserve"> </w:t>
      </w:r>
      <w:r>
        <w:t xml:space="preserve">for existence had reached a new climax of ferocity, and the victor</w:t>
      </w:r>
      <w:r>
        <w:t xml:space="preserve"> </w:t>
      </w:r>
      <w:r>
        <w:t xml:space="preserve">was not yet in sight. In this barren and desiccated land, only the</w:t>
      </w:r>
      <w:r>
        <w:t xml:space="preserve"> </w:t>
      </w:r>
      <w:r>
        <w:t xml:space="preserve">small or the swift or the fierce could flourish, or even hope to</w:t>
      </w:r>
      <w:r>
        <w:t xml:space="preserve"> </w:t>
      </w:r>
      <w:r>
        <w:t xml:space="preserve">survive.</w:t>
      </w:r>
    </w:p>
    <w:p>
      <w:pPr>
        <w:pStyle w:val="BodyText"/>
      </w:pPr>
      <w:r>
        <w:t xml:space="preserve">Цитирование мне пока не удовалось нигде использовать.</w:t>
      </w:r>
    </w:p>
    <w:p>
      <w:pPr>
        <w:pStyle w:val="BodyText"/>
      </w:pPr>
      <w:r>
        <w:rPr>
          <w:bCs/>
          <w:b/>
        </w:rP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SourceCode"/>
      </w:pPr>
      <w:r>
        <w:rPr>
          <w:rStyle w:val="VerbatimChar"/>
        </w:rPr>
        <w:t xml:space="preserve">- List item 1</w:t>
      </w:r>
      <w:r>
        <w:br/>
      </w:r>
      <w:r>
        <w:rPr>
          <w:rStyle w:val="VerbatimChar"/>
        </w:rPr>
        <w:t xml:space="preserve">- List item 2</w:t>
      </w:r>
      <w:r>
        <w:br/>
      </w:r>
      <w:r>
        <w:rPr>
          <w:rStyle w:val="VerbatimChar"/>
        </w:rPr>
        <w:t xml:space="preserve">- List item 3</w:t>
      </w:r>
    </w:p>
    <w:p>
      <w:pPr>
        <w:pStyle w:val="FirstParagraph"/>
      </w:pPr>
      <w:r>
        <w:rPr>
          <w:bCs/>
          <w:b/>
        </w:rP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A</w:t>
      </w:r>
    </w:p>
    <w:p>
      <w:pPr>
        <w:numPr>
          <w:ilvl w:val="0"/>
          <w:numId w:val="1001"/>
        </w:numPr>
        <w:pStyle w:val="Compact"/>
      </w:pPr>
      <w:r>
        <w:t xml:space="preserve">List item B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pStyle w:val="FirstParagraph"/>
      </w:pPr>
      <w:r>
        <w:rPr>
          <w:bCs/>
          <w:b/>
        </w:rPr>
        <w:t xml:space="preserve">Упорядоченный список можно отформатировать с помощью соответствующих цифр: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</w:p>
    <w:p>
      <w:pPr>
        <w:pStyle w:val="FirstParagraph"/>
      </w:pPr>
      <w:r>
        <w:rPr>
          <w:bCs/>
          <w:b/>
        </w:rPr>
        <w:t xml:space="preserve">Чтобы вложить один список в другой, добавьте отступ для элементов дочернего списка:</w:t>
      </w:r>
    </w:p>
    <w:p>
      <w:pPr>
        <w:pStyle w:val="SourceCode"/>
      </w:pPr>
      <w:r>
        <w:rPr>
          <w:rStyle w:val="VerbatimChar"/>
        </w:rPr>
        <w:t xml:space="preserve">1. First instruction</w:t>
      </w:r>
      <w:r>
        <w:br/>
      </w:r>
      <w:r>
        <w:rPr>
          <w:rStyle w:val="VerbatimChar"/>
        </w:rPr>
        <w:t xml:space="preserve"> 1. Sub-instruction</w:t>
      </w:r>
      <w:r>
        <w:br/>
      </w:r>
      <w:r>
        <w:rPr>
          <w:rStyle w:val="VerbatimChar"/>
        </w:rPr>
        <w:t xml:space="preserve"> 1. Sub-instruction</w:t>
      </w:r>
      <w:r>
        <w:br/>
      </w:r>
      <w:r>
        <w:rPr>
          <w:rStyle w:val="VerbatimChar"/>
        </w:rPr>
        <w:t xml:space="preserve">1. Second instruction</w:t>
      </w:r>
    </w:p>
    <w:p>
      <w:pPr>
        <w:pStyle w:val="FirstParagraph"/>
      </w:pPr>
      <w:r>
        <w:rPr>
          <w:bCs/>
          <w:b/>
        </w:rP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файла,на который дается ссылка:</w:t>
      </w:r>
    </w:p>
    <w:p>
      <w:pPr>
        <w:pStyle w:val="SourceCode"/>
      </w:pPr>
      <w:r>
        <w:rPr>
          <w:rStyle w:val="VerbatimChar"/>
        </w:rPr>
        <w:t xml:space="preserve">[link text](file-name.md)</w:t>
      </w:r>
    </w:p>
    <w:p>
      <w:pPr>
        <w:pStyle w:val="FirstParagraph"/>
      </w:pPr>
      <w:r>
        <w:t xml:space="preserve">Именно такую встроенную ссылку я не использовал, но было что-то похожее при работе с презентацией</w:t>
      </w:r>
    </w:p>
    <w:p>
      <w:pPr>
        <w:pStyle w:val="CaptionedFigure"/>
      </w:pPr>
      <w:r>
        <w:drawing>
          <wp:inline>
            <wp:extent cx="4244741" cy="1751797"/>
            <wp:effectExtent b="0" l="0" r="0" t="0"/>
            <wp:docPr descr="Рис 2.1.5: Пример написания из презентации" title="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Пример написания из презентации</w:t>
      </w:r>
    </w:p>
    <w:p>
      <w:pPr>
        <w:pStyle w:val="BodyText"/>
      </w:pPr>
      <w:r>
        <w:rPr>
          <w:bCs/>
          <w:b/>
        </w:rP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pStyle w:val="FirstParagraph"/>
      </w:pPr>
      <w:r>
        <w:t xml:space="preserve">Верхние и нижние индексы записывается как:</w:t>
      </w:r>
    </w:p>
    <w:p>
      <w:pPr>
        <w:numPr>
          <w:ilvl w:val="0"/>
          <w:numId w:val="1003"/>
        </w:numPr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numPr>
          <w:ilvl w:val="0"/>
          <w:numId w:val="1003"/>
        </w:numPr>
      </w:pPr>
      <w:r>
        <w:t xml:space="preserve">2</w:t>
      </w:r>
      <w:r>
        <w:rPr>
          <w:vertAlign w:val="superscript"/>
        </w:rPr>
        <w:t xml:space="preserve">10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запишется как:</w:t>
      </w:r>
    </w:p>
    <w:p>
      <w:pPr>
        <w:pStyle w:val="SourceCode"/>
      </w:pPr>
      <w:r>
        <w:rPr>
          <w:rStyle w:val="VerbatimChar"/>
        </w:rPr>
        <w:t xml:space="preserve">$\sin^2 (x) + \cos^2 (x) = 1$</w:t>
      </w:r>
    </w:p>
    <w:p>
      <w:pPr>
        <w:pStyle w:val="FirstParagraph"/>
      </w:pPr>
      <w:r>
        <w:t xml:space="preserve">Выключные формулы:</w:t>
      </w:r>
    </w:p>
    <w:p>
      <w:pPr>
        <w:pStyle w:val="BodyText"/>
      </w:pPr>
      <w:r>
        <w:t xml:space="preserve">sin^2(x) + cos^2(x) = 1</w:t>
      </w:r>
    </w:p>
    <w:p>
      <w:pPr>
        <w:pStyle w:val="BodyText"/>
      </w:pPr>
      <w:r>
        <w:t xml:space="preserve">{#eq:eq:sin2+cos2} со ссылкой в тексте «Смотри формулу (1).» записывается как</w:t>
      </w:r>
    </w:p>
    <w:p>
      <w:pPr>
        <w:pStyle w:val="BodyText"/>
      </w:pPr>
      <w:bookmarkStart w:id="36" w:name="eq:eq:sin2+cos2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Смотри формулу (1).</w:t>
      </w:r>
    </w:p>
    <w:bookmarkEnd w:id="37"/>
    <w:bookmarkStart w:id="38" w:name="обработка-файлов-в-формате-markd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rPr>
          <w:iCs/>
          <w:i/>
        </w:rPr>
        <w:t xml:space="preserve">https://pandoc.org/</w:t>
      </w:r>
      <w:r>
        <w:t xml:space="preserve"> </w:t>
      </w:r>
      <w:r>
        <w:t xml:space="preserve">Конкретно, нам понадобится программа pandoc, pandoc-citeproc</w:t>
      </w:r>
      <w:r>
        <w:t xml:space="preserve"> </w:t>
      </w:r>
      <w:r>
        <w:rPr>
          <w:iCs/>
          <w:i/>
        </w:rPr>
        <w:t xml:space="preserve">https://github.com/jgm/pandoc/releases</w:t>
      </w:r>
      <w:r>
        <w:t xml:space="preserve">, pandoc-crossref</w:t>
      </w:r>
      <w:r>
        <w:t xml:space="preserve"> </w:t>
      </w:r>
      <w:r>
        <w:rPr>
          <w:iCs/>
          <w:i/>
        </w:rPr>
        <w:t xml:space="preserve">https://github.com/lierdakil/pandoc-crossref/releases</w:t>
      </w:r>
      <w:r>
        <w:t xml:space="preserve"> </w:t>
      </w: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Можно использовать следующий Makefile</w:t>
      </w:r>
    </w:p>
    <w:p>
      <w:pPr>
        <w:pStyle w:val="SourceCode"/>
      </w:pPr>
      <w:r>
        <w:rPr>
          <w:rStyle w:val="VerbatimChar"/>
        </w:rPr>
        <w:t xml:space="preserve">1 FILES = $(patsubst %.md, %.docx, $(wildcard *.md))</w:t>
      </w:r>
      <w:r>
        <w:br/>
      </w:r>
      <w:r>
        <w:rPr>
          <w:rStyle w:val="VerbatimChar"/>
        </w:rPr>
        <w:t xml:space="preserve">2 FILES += $(patsubst %.md, %.pdf, $(wildcard *.md))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 LATEX_FORMAT =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 FILTER = --filter pandoc-crossref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8 %.docx: %.md</w:t>
      </w:r>
      <w:r>
        <w:br/>
      </w:r>
      <w:r>
        <w:rPr>
          <w:rStyle w:val="VerbatimChar"/>
        </w:rPr>
        <w:t xml:space="preserve">9 -pandoc "$&lt;" $(FILTER) -o "$@"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11 %.pdf: %.md</w:t>
      </w:r>
      <w:r>
        <w:br/>
      </w:r>
      <w:r>
        <w:rPr>
          <w:rStyle w:val="VerbatimChar"/>
        </w:rPr>
        <w:t xml:space="preserve">12 -pandoc "$&lt;" $(LATEX_FORMAT) $(FILTER) -o "$@"</w:t>
      </w:r>
      <w:r>
        <w:br/>
      </w:r>
      <w:r>
        <w:rPr>
          <w:rStyle w:val="VerbatimChar"/>
        </w:rPr>
        <w:t xml:space="preserve">13</w:t>
      </w:r>
      <w:r>
        <w:br/>
      </w:r>
      <w:r>
        <w:rPr>
          <w:rStyle w:val="VerbatimChar"/>
        </w:rPr>
        <w:t xml:space="preserve">14 all: $(FILES)</w:t>
      </w:r>
      <w:r>
        <w:br/>
      </w:r>
      <w:r>
        <w:rPr>
          <w:rStyle w:val="VerbatimChar"/>
        </w:rPr>
        <w:t xml:space="preserve">15 @echo $(FILES)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17 clean:</w:t>
      </w:r>
      <w:r>
        <w:br/>
      </w:r>
      <w:r>
        <w:rPr>
          <w:rStyle w:val="VerbatimChar"/>
        </w:rPr>
        <w:t xml:space="preserve">18 -rm $(FILES) *~</w:t>
      </w:r>
    </w:p>
    <w:bookmarkEnd w:id="38"/>
    <w:bookmarkStart w:id="39" w:name="блок-про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Блок про задание</w:t>
      </w:r>
    </w:p>
    <w:p>
      <w:pPr>
        <w:pStyle w:val="FirstParagraph"/>
      </w:pPr>
      <w:r>
        <w:t xml:space="preserve">Не думаю, что есть смысл расписывать про то как я делал 2-ую лаб. работу с учетом того, что в отчете 2-ой лаб. работы требовалось скинуть отчет сделанный с помощью Markdown. Так или иначе все файлы по 2-ой лаб работе пристуствуют в</w:t>
      </w:r>
      <w:r>
        <w:t xml:space="preserve"> </w:t>
      </w:r>
      <w:r>
        <w:t xml:space="preserve">“</w:t>
      </w:r>
      <w:r>
        <w:t xml:space="preserve">Очет о выполнении. Лаб. Работа №2</w:t>
      </w:r>
      <w:r>
        <w:t xml:space="preserve">”</w:t>
      </w:r>
      <w:r>
        <w:t xml:space="preserve">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Чекмарев Александр Дмитриевич | Группа НПИбд-02-23</dc:creator>
  <dc:language>ru-RU</dc:language>
  <cp:keywords/>
  <dcterms:created xsi:type="dcterms:W3CDTF">2024-03-02T02:11:19Z</dcterms:created>
  <dcterms:modified xsi:type="dcterms:W3CDTF">2024-03-02T02:11:19Z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