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232" w:rsidRDefault="00CD11D8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48"/>
        </w:rPr>
        <w:t xml:space="preserve">ANN EITRHEIM, CFA </w:t>
      </w:r>
    </w:p>
    <w:p w:rsidR="00613232" w:rsidRDefault="00CD11D8">
      <w:pPr>
        <w:spacing w:after="28" w:line="259" w:lineRule="auto"/>
        <w:ind w:left="216" w:firstLine="0"/>
      </w:pPr>
      <w:r>
        <w:t xml:space="preserve">cell: 952.412.8888  |  </w:t>
      </w:r>
      <w:r>
        <w:rPr>
          <w:u w:val="single" w:color="7E7E7E"/>
        </w:rPr>
        <w:t>ann.eitrheim@gmail.com</w:t>
      </w:r>
      <w:r>
        <w:t xml:space="preserve">  |  </w:t>
      </w:r>
      <w:r>
        <w:rPr>
          <w:u w:val="single" w:color="7E7E7E"/>
        </w:rPr>
        <w:t>linkedin.com/in/anneitrhem/</w:t>
      </w:r>
      <w:r>
        <w:t xml:space="preserve">  |  </w:t>
      </w:r>
      <w:r>
        <w:rPr>
          <w:u w:val="single" w:color="7E7E7E"/>
        </w:rPr>
        <w:t>github.com/eitrheim</w:t>
      </w:r>
      <w:r>
        <w:t xml:space="preserve"> </w:t>
      </w:r>
    </w:p>
    <w:p w:rsidR="00613232" w:rsidRDefault="00CD11D8">
      <w:pPr>
        <w:spacing w:after="1" w:line="259" w:lineRule="auto"/>
        <w:ind w:left="0" w:firstLine="0"/>
      </w:pPr>
      <w:r>
        <w:rPr>
          <w:rFonts w:ascii="Georgia" w:eastAsia="Georgia" w:hAnsi="Georgia" w:cs="Georgia"/>
          <w:b/>
          <w:color w:val="000000"/>
          <w:sz w:val="28"/>
        </w:rPr>
        <w:t xml:space="preserve"> </w:t>
      </w:r>
    </w:p>
    <w:p w:rsidR="00613232" w:rsidRDefault="00CD11D8">
      <w:pPr>
        <w:pStyle w:val="Heading1"/>
        <w:ind w:left="-5"/>
      </w:pPr>
      <w:r>
        <w:t xml:space="preserve">EDUCATION </w:t>
      </w:r>
    </w:p>
    <w:p w:rsidR="00613232" w:rsidRDefault="00CD11D8">
      <w:pPr>
        <w:spacing w:after="0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077456" cy="6096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6" cy="6096"/>
                          <a:chOff x="0" y="0"/>
                          <a:chExt cx="7077456" cy="6096"/>
                        </a:xfrm>
                      </wpg:grpSpPr>
                      <wps:wsp>
                        <wps:cNvPr id="2846" name="Shape 2846"/>
                        <wps:cNvSpPr/>
                        <wps:spPr>
                          <a:xfrm>
                            <a:off x="0" y="0"/>
                            <a:ext cx="7077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456" h="9144">
                                <a:moveTo>
                                  <a:pt x="0" y="0"/>
                                </a:moveTo>
                                <a:lnTo>
                                  <a:pt x="7077456" y="0"/>
                                </a:lnTo>
                                <a:lnTo>
                                  <a:pt x="7077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0" style="width:557.28pt;height:0.47998pt;mso-position-horizontal-relative:char;mso-position-vertical-relative:line" coordsize="70774,60">
                <v:shape id="Shape 2847" style="position:absolute;width:70774;height:91;left:0;top:0;" coordsize="7077456,9144" path="m0,0l7077456,0l7077456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613232" w:rsidRDefault="00CD11D8">
      <w:pPr>
        <w:tabs>
          <w:tab w:val="right" w:pos="11052"/>
        </w:tabs>
        <w:spacing w:after="5" w:line="259" w:lineRule="auto"/>
        <w:ind w:left="-15" w:firstLine="0"/>
      </w:pPr>
      <w:r>
        <w:rPr>
          <w:b/>
          <w:color w:val="000000"/>
        </w:rPr>
        <w:t xml:space="preserve">UNIVERSITY OF CHICAGO  </w:t>
      </w:r>
      <w:r>
        <w:rPr>
          <w:color w:val="000000"/>
        </w:rPr>
        <w:t xml:space="preserve">|  June 2020 Expected </w:t>
      </w:r>
      <w:r>
        <w:rPr>
          <w:color w:val="000000"/>
        </w:rPr>
        <w:tab/>
      </w:r>
      <w:r>
        <w:rPr>
          <w:b/>
          <w:color w:val="000000"/>
        </w:rPr>
        <w:t xml:space="preserve">         DRAKE UNIVERSITY  </w:t>
      </w:r>
      <w:r>
        <w:rPr>
          <w:color w:val="000000"/>
        </w:rPr>
        <w:t xml:space="preserve">|  Des Moines, IA  |  </w:t>
      </w:r>
      <w:r>
        <w:rPr>
          <w:color w:val="000000"/>
        </w:rPr>
        <w:t>December 2014</w:t>
      </w:r>
      <w:r>
        <w:rPr>
          <w:b/>
          <w:color w:val="000000"/>
        </w:rPr>
        <w:t xml:space="preserve"> </w:t>
      </w:r>
    </w:p>
    <w:p w:rsidR="00613232" w:rsidRDefault="00CD11D8">
      <w:pPr>
        <w:tabs>
          <w:tab w:val="center" w:pos="7441"/>
        </w:tabs>
        <w:ind w:left="0" w:firstLine="0"/>
      </w:pPr>
      <w:r>
        <w:t>Cumulative GPA: 4.0 (on a 4.0 scale)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    Cumulative GPA: 4.0 (on a 4.0 scale)</w:t>
      </w:r>
      <w:r>
        <w:rPr>
          <w:sz w:val="20"/>
        </w:rPr>
        <w:t xml:space="preserve"> </w:t>
      </w:r>
      <w:r>
        <w:rPr>
          <w:b/>
        </w:rPr>
        <w:t xml:space="preserve"> </w:t>
      </w:r>
    </w:p>
    <w:p w:rsidR="00613232" w:rsidRDefault="00CD11D8">
      <w:pPr>
        <w:tabs>
          <w:tab w:val="center" w:pos="8224"/>
        </w:tabs>
        <w:ind w:left="0" w:firstLine="0"/>
      </w:pPr>
      <w:r>
        <w:t xml:space="preserve">Master of Science in Analytics </w:t>
      </w:r>
      <w:r>
        <w:tab/>
        <w:t xml:space="preserve">         B.Sc., Accounting and Finance majors, Economics minor</w:t>
      </w:r>
    </w:p>
    <w:p w:rsidR="00613232" w:rsidRDefault="00CD11D8">
      <w:pPr>
        <w:spacing w:after="52" w:line="259" w:lineRule="auto"/>
        <w:ind w:left="0" w:firstLine="0"/>
      </w:pPr>
      <w:r>
        <w:t xml:space="preserve"> </w:t>
      </w:r>
    </w:p>
    <w:p w:rsidR="00613232" w:rsidRDefault="00CD11D8">
      <w:pPr>
        <w:pStyle w:val="Heading1"/>
        <w:ind w:left="-5"/>
      </w:pPr>
      <w:r>
        <w:t xml:space="preserve">EXPERIENCE </w:t>
      </w:r>
    </w:p>
    <w:p w:rsidR="00613232" w:rsidRDefault="00CD11D8">
      <w:pPr>
        <w:spacing w:after="0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077456" cy="6096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6" cy="6096"/>
                          <a:chOff x="0" y="0"/>
                          <a:chExt cx="7077456" cy="6096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7077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456" h="9144">
                                <a:moveTo>
                                  <a:pt x="0" y="0"/>
                                </a:moveTo>
                                <a:lnTo>
                                  <a:pt x="7077456" y="0"/>
                                </a:lnTo>
                                <a:lnTo>
                                  <a:pt x="7077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1" style="width:557.28pt;height:0.47998pt;mso-position-horizontal-relative:char;mso-position-vertical-relative:line" coordsize="70774,60">
                <v:shape id="Shape 2849" style="position:absolute;width:70774;height:91;left:0;top:0;" coordsize="7077456,9144" path="m0,0l7077456,0l7077456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613232" w:rsidRDefault="00CD11D8">
      <w:pPr>
        <w:pStyle w:val="Heading2"/>
        <w:ind w:left="-5"/>
      </w:pPr>
      <w:r>
        <w:t xml:space="preserve">WEST MONROE PARTNERS </w:t>
      </w:r>
    </w:p>
    <w:p w:rsidR="00613232" w:rsidRDefault="00CD11D8">
      <w:pPr>
        <w:spacing w:after="5" w:line="259" w:lineRule="auto"/>
        <w:ind w:left="-5"/>
      </w:pPr>
      <w:r>
        <w:rPr>
          <w:b/>
          <w:color w:val="000000"/>
        </w:rPr>
        <w:t>Data Analytics Consultant Intern</w:t>
      </w:r>
      <w:r>
        <w:rPr>
          <w:color w:val="000000"/>
        </w:rPr>
        <w:t xml:space="preserve">  |  Chicago, IL  |  June 2019 – August 2019</w:t>
      </w:r>
      <w:r>
        <w:rPr>
          <w:b/>
          <w:color w:val="000000"/>
        </w:rPr>
        <w:t xml:space="preserve"> </w:t>
      </w:r>
    </w:p>
    <w:p w:rsidR="00613232" w:rsidRDefault="00CD11D8">
      <w:pPr>
        <w:numPr>
          <w:ilvl w:val="0"/>
          <w:numId w:val="1"/>
        </w:numPr>
        <w:ind w:hanging="360"/>
      </w:pPr>
      <w:r>
        <w:t>Designed, developed, and implemented an end to end solution in a small team that allows actionable insights to be generated quickly utilizing Python, GUIs, Power BI, SQLite, PyCh</w:t>
      </w:r>
      <w:r>
        <w:t xml:space="preserve">arm, data cleaning, and parsing of complex text data to deliver rapid forecasting capabilities for a specialty pharmaceutical company </w:t>
      </w:r>
    </w:p>
    <w:p w:rsidR="00613232" w:rsidRDefault="00CD11D8">
      <w:pPr>
        <w:numPr>
          <w:ilvl w:val="0"/>
          <w:numId w:val="1"/>
        </w:numPr>
        <w:ind w:hanging="360"/>
      </w:pPr>
      <w:r>
        <w:t>Helped drive successful final delivery of 6-week long project by working closely with the client to evaluate requirements</w:t>
      </w:r>
      <w:r>
        <w:t xml:space="preserve">, communicate project status, facilitate end-user adoption, and present recommended future work </w:t>
      </w:r>
    </w:p>
    <w:p w:rsidR="00613232" w:rsidRDefault="00CD11D8">
      <w:pPr>
        <w:numPr>
          <w:ilvl w:val="0"/>
          <w:numId w:val="1"/>
        </w:numPr>
        <w:ind w:hanging="360"/>
      </w:pPr>
      <w:r>
        <w:t xml:space="preserve">Reverse-engineered and automated a manual Excel-based forecasting model to data science platforms to be run at scale </w:t>
      </w:r>
    </w:p>
    <w:p w:rsidR="00613232" w:rsidRDefault="00CD11D8">
      <w:pPr>
        <w:numPr>
          <w:ilvl w:val="0"/>
          <w:numId w:val="1"/>
        </w:numPr>
        <w:ind w:hanging="360"/>
      </w:pPr>
      <w:r>
        <w:t>Produced dashboards to visualize the mode</w:t>
      </w:r>
      <w:r>
        <w:t xml:space="preserve">l output to examine scenarios to assess risk and drive actionable recommendations </w:t>
      </w:r>
    </w:p>
    <w:p w:rsidR="00613232" w:rsidRDefault="00CD11D8">
      <w:pPr>
        <w:numPr>
          <w:ilvl w:val="0"/>
          <w:numId w:val="1"/>
        </w:numPr>
        <w:ind w:hanging="360"/>
      </w:pPr>
      <w:r>
        <w:t>Collaborated with another data scientist to create client deliverables including software development, database construction, visualization creation, status reports, and a s</w:t>
      </w:r>
      <w:r>
        <w:t xml:space="preserve">trong foundation for additional machine learning and natural language processing work </w:t>
      </w:r>
    </w:p>
    <w:p w:rsidR="00613232" w:rsidRDefault="00CD11D8">
      <w:pPr>
        <w:pStyle w:val="Heading2"/>
        <w:ind w:left="-5"/>
      </w:pPr>
      <w:r>
        <w:t xml:space="preserve">PRINCIPAL GLOBAL INVESTORS </w:t>
      </w:r>
    </w:p>
    <w:p w:rsidR="00613232" w:rsidRDefault="00CD11D8">
      <w:pPr>
        <w:spacing w:after="5" w:line="259" w:lineRule="auto"/>
        <w:ind w:left="-5"/>
      </w:pPr>
      <w:r>
        <w:rPr>
          <w:b/>
          <w:color w:val="000000"/>
        </w:rPr>
        <w:t>Associate Fixed Income Analyst</w:t>
      </w:r>
      <w:r>
        <w:rPr>
          <w:color w:val="000000"/>
        </w:rPr>
        <w:t xml:space="preserve">  |  Des Moines, IA  |  January 2015 – March 2018</w:t>
      </w:r>
      <w:r>
        <w:rPr>
          <w:b/>
          <w:color w:val="000000"/>
        </w:rPr>
        <w:t xml:space="preserve"> </w:t>
      </w:r>
    </w:p>
    <w:p w:rsidR="00613232" w:rsidRDefault="00CD11D8">
      <w:pPr>
        <w:numPr>
          <w:ilvl w:val="0"/>
          <w:numId w:val="2"/>
        </w:numPr>
        <w:ind w:hanging="360"/>
      </w:pPr>
      <w:r>
        <w:t>Researched and recommended trades for Diversified Industrial</w:t>
      </w:r>
      <w:r>
        <w:t xml:space="preserve">s, Building Materials, Environmental Services, and Home </w:t>
      </w:r>
    </w:p>
    <w:p w:rsidR="00613232" w:rsidRDefault="00CD11D8">
      <w:pPr>
        <w:spacing w:after="10" w:line="259" w:lineRule="auto"/>
        <w:ind w:left="122" w:firstLine="0"/>
        <w:jc w:val="center"/>
      </w:pPr>
      <w:r>
        <w:t xml:space="preserve">Construction companies in the public and private placement markets for the General Account and third party managed money </w:t>
      </w:r>
    </w:p>
    <w:p w:rsidR="00613232" w:rsidRDefault="00CD11D8">
      <w:pPr>
        <w:numPr>
          <w:ilvl w:val="0"/>
          <w:numId w:val="2"/>
        </w:numPr>
        <w:ind w:hanging="360"/>
      </w:pPr>
      <w:r>
        <w:t xml:space="preserve">Lead analyst for $812mm in purchases and had </w:t>
      </w:r>
      <w:r>
        <w:t xml:space="preserve">accountability for monitoring and reviewing risk exposure in $1.7bn of investments </w:t>
      </w:r>
    </w:p>
    <w:p w:rsidR="00613232" w:rsidRDefault="00CD11D8">
      <w:pPr>
        <w:numPr>
          <w:ilvl w:val="0"/>
          <w:numId w:val="2"/>
        </w:numPr>
        <w:ind w:hanging="360"/>
      </w:pPr>
      <w:r>
        <w:t xml:space="preserve">Formulated actionable investment recommendations and strategies based on industry trends and factors affecting the yield curve </w:t>
      </w:r>
    </w:p>
    <w:p w:rsidR="00613232" w:rsidRDefault="00CD11D8">
      <w:pPr>
        <w:numPr>
          <w:ilvl w:val="0"/>
          <w:numId w:val="2"/>
        </w:numPr>
        <w:ind w:hanging="360"/>
      </w:pPr>
      <w:r>
        <w:t>Continually orchestrated efficiency projects</w:t>
      </w:r>
      <w:r>
        <w:t xml:space="preserve"> that steam line work flow, typically by redesigning, automating, or simplifying processes </w:t>
      </w:r>
    </w:p>
    <w:p w:rsidR="00613232" w:rsidRDefault="00CD11D8">
      <w:pPr>
        <w:numPr>
          <w:ilvl w:val="0"/>
          <w:numId w:val="2"/>
        </w:numPr>
        <w:ind w:hanging="360"/>
      </w:pPr>
      <w:r>
        <w:t xml:space="preserve">Developed training materials for efficient onboarding of new team members </w:t>
      </w:r>
    </w:p>
    <w:p w:rsidR="00613232" w:rsidRDefault="00CD11D8">
      <w:pPr>
        <w:numPr>
          <w:ilvl w:val="0"/>
          <w:numId w:val="2"/>
        </w:numPr>
        <w:ind w:hanging="360"/>
      </w:pPr>
      <w:r>
        <w:t>Automated reports that produced valuable analytics on the outlook of the industrial econo</w:t>
      </w:r>
      <w:r>
        <w:t xml:space="preserve">my, the biggest movers in the Bloomberg Barclays credit index, and a way to visualize the movement in key fundamental factors for fixed income investors </w:t>
      </w:r>
    </w:p>
    <w:p w:rsidR="00613232" w:rsidRDefault="00CD11D8">
      <w:pPr>
        <w:numPr>
          <w:ilvl w:val="0"/>
          <w:numId w:val="2"/>
        </w:numPr>
        <w:ind w:hanging="360"/>
      </w:pPr>
      <w:r>
        <w:t>Gave presentations to investment committee on large transactions and sector updates and disruptions to</w:t>
      </w:r>
      <w:r>
        <w:t xml:space="preserve"> limit material surprises </w:t>
      </w:r>
      <w:r>
        <w:rPr>
          <w:rFonts w:ascii="MS Gothic" w:eastAsia="MS Gothic" w:hAnsi="MS Gothic" w:cs="MS Gothic"/>
        </w:rPr>
        <w:t> </w:t>
      </w:r>
      <w:r>
        <w:t xml:space="preserve"> </w:t>
      </w:r>
    </w:p>
    <w:p w:rsidR="00613232" w:rsidRDefault="00CD11D8">
      <w:pPr>
        <w:pStyle w:val="Heading2"/>
        <w:ind w:left="-5"/>
      </w:pPr>
      <w:r>
        <w:lastRenderedPageBreak/>
        <w:t xml:space="preserve">J.P. MORGAN CHASE &amp; CO </w:t>
      </w:r>
    </w:p>
    <w:p w:rsidR="00613232" w:rsidRDefault="00CD11D8">
      <w:pPr>
        <w:spacing w:after="5" w:line="259" w:lineRule="auto"/>
        <w:ind w:left="-5"/>
      </w:pPr>
      <w:r>
        <w:rPr>
          <w:b/>
          <w:color w:val="000000"/>
        </w:rPr>
        <w:t xml:space="preserve">Summer Financial Analyst </w:t>
      </w:r>
      <w:r>
        <w:rPr>
          <w:color w:val="000000"/>
        </w:rPr>
        <w:t xml:space="preserve"> |  Chicago, IL  |  June 2014 – August 2014</w:t>
      </w:r>
      <w:r>
        <w:rPr>
          <w:b/>
          <w:color w:val="000000"/>
        </w:rPr>
        <w:t xml:space="preserve"> </w:t>
      </w:r>
    </w:p>
    <w:p w:rsidR="00613232" w:rsidRDefault="00CD11D8">
      <w:pPr>
        <w:numPr>
          <w:ilvl w:val="0"/>
          <w:numId w:val="3"/>
        </w:numPr>
        <w:ind w:hanging="360"/>
      </w:pPr>
      <w:r>
        <w:t xml:space="preserve">Supported Private Bank CFO and Finance Managers with market reviews and ad hoc projects </w:t>
      </w:r>
    </w:p>
    <w:p w:rsidR="00613232" w:rsidRDefault="00CD11D8">
      <w:pPr>
        <w:numPr>
          <w:ilvl w:val="0"/>
          <w:numId w:val="3"/>
        </w:numPr>
        <w:ind w:hanging="360"/>
      </w:pPr>
      <w:r>
        <w:t>Implemented an occupancy project resulting i</w:t>
      </w:r>
      <w:r>
        <w:t xml:space="preserve">n $383k in annual savings; identified realistic ways to save an additional $261k / yr </w:t>
      </w:r>
    </w:p>
    <w:p w:rsidR="00613232" w:rsidRDefault="00CD11D8">
      <w:pPr>
        <w:numPr>
          <w:ilvl w:val="0"/>
          <w:numId w:val="3"/>
        </w:numPr>
        <w:ind w:hanging="360"/>
      </w:pPr>
      <w:r>
        <w:t xml:space="preserve">Developed files to compare individuals in the Private Bank, such as an Investor Scorecard, to support decision-making </w:t>
      </w:r>
    </w:p>
    <w:p w:rsidR="00613232" w:rsidRDefault="00CD11D8">
      <w:pPr>
        <w:numPr>
          <w:ilvl w:val="0"/>
          <w:numId w:val="3"/>
        </w:numPr>
        <w:ind w:hanging="360"/>
      </w:pPr>
      <w:r>
        <w:t>Built relationships with senior management, the fr</w:t>
      </w:r>
      <w:r>
        <w:t xml:space="preserve">ont office, and individuals from other areas of the firm to become a go-to resource  </w:t>
      </w:r>
    </w:p>
    <w:p w:rsidR="00613232" w:rsidRDefault="00CD11D8">
      <w:pPr>
        <w:spacing w:after="52" w:line="259" w:lineRule="auto"/>
        <w:ind w:left="0" w:firstLine="0"/>
      </w:pPr>
      <w:r>
        <w:t xml:space="preserve"> </w:t>
      </w:r>
    </w:p>
    <w:p w:rsidR="00613232" w:rsidRDefault="00CD11D8">
      <w:pPr>
        <w:pStyle w:val="Heading1"/>
        <w:ind w:left="-5"/>
      </w:pPr>
      <w:r>
        <w:t xml:space="preserve">DATA SCIENCE PROJECTS </w:t>
      </w:r>
    </w:p>
    <w:p w:rsidR="00613232" w:rsidRDefault="00CD11D8">
      <w:pPr>
        <w:spacing w:after="0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077456" cy="6096"/>
                <wp:effectExtent l="0" t="0" r="0" b="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6" cy="6096"/>
                          <a:chOff x="0" y="0"/>
                          <a:chExt cx="7077456" cy="6096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0" y="0"/>
                            <a:ext cx="7077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456" h="9144">
                                <a:moveTo>
                                  <a:pt x="0" y="0"/>
                                </a:moveTo>
                                <a:lnTo>
                                  <a:pt x="7077456" y="0"/>
                                </a:lnTo>
                                <a:lnTo>
                                  <a:pt x="7077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" style="width:557.28pt;height:0.47998pt;mso-position-horizontal-relative:char;mso-position-vertical-relative:line" coordsize="70774,60">
                <v:shape id="Shape 2851" style="position:absolute;width:70774;height:91;left:0;top:0;" coordsize="7077456,9144" path="m0,0l7077456,0l7077456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613232" w:rsidRDefault="00CD11D8">
      <w:pPr>
        <w:spacing w:after="48" w:line="259" w:lineRule="auto"/>
        <w:ind w:left="-5"/>
      </w:pPr>
      <w:r>
        <w:rPr>
          <w:b/>
          <w:color w:val="000000"/>
        </w:rPr>
        <w:t xml:space="preserve">Kraft Heinz People Analytics  </w:t>
      </w:r>
      <w:r>
        <w:rPr>
          <w:color w:val="000000"/>
        </w:rPr>
        <w:t xml:space="preserve">|  </w:t>
      </w:r>
      <w:r>
        <w:rPr>
          <w:color w:val="000000"/>
        </w:rPr>
        <w:t xml:space="preserve">Candidate Selection AI &amp; Resume Smart Reader Capstone Project  |  March 2019 – March 2020 </w:t>
      </w:r>
    </w:p>
    <w:p w:rsidR="00613232" w:rsidRDefault="00CD11D8">
      <w:pPr>
        <w:numPr>
          <w:ilvl w:val="0"/>
          <w:numId w:val="4"/>
        </w:numPr>
        <w:ind w:hanging="360"/>
      </w:pPr>
      <w:r>
        <w:t xml:space="preserve">Designed an intelligent system to automate candidate selection for interviews based on a job description and resumes while aiming to remove implicit biases inherent </w:t>
      </w:r>
      <w:r>
        <w:t xml:space="preserve">to manual selection </w:t>
      </w:r>
    </w:p>
    <w:p w:rsidR="00613232" w:rsidRDefault="00CD11D8">
      <w:pPr>
        <w:numPr>
          <w:ilvl w:val="0"/>
          <w:numId w:val="4"/>
        </w:numPr>
        <w:ind w:hanging="360"/>
      </w:pPr>
      <w:r>
        <w:t xml:space="preserve">Developed natural language processing (NLP) resume and job description parsers to extract features and create word embeddings for over 110,000 resumes and 3,000 job descriptions </w:t>
      </w:r>
    </w:p>
    <w:p w:rsidR="00613232" w:rsidRDefault="00CD11D8">
      <w:pPr>
        <w:numPr>
          <w:ilvl w:val="0"/>
          <w:numId w:val="4"/>
        </w:numPr>
        <w:ind w:hanging="360"/>
      </w:pPr>
      <w:r>
        <w:t>Built a propriety machine learning recommendation engine</w:t>
      </w:r>
      <w:r>
        <w:t xml:space="preserve"> that ranks and identifies the most relevant candidates for a position  </w:t>
      </w:r>
    </w:p>
    <w:p w:rsidR="00613232" w:rsidRDefault="00CD11D8">
      <w:pPr>
        <w:numPr>
          <w:ilvl w:val="0"/>
          <w:numId w:val="4"/>
        </w:numPr>
        <w:ind w:hanging="360"/>
      </w:pPr>
      <w:r>
        <w:t xml:space="preserve">Validated models using precision at k to ensure that models produce relevant recommendations  </w:t>
      </w:r>
    </w:p>
    <w:p w:rsidR="00613232" w:rsidRDefault="00CD11D8">
      <w:pPr>
        <w:spacing w:after="94" w:line="259" w:lineRule="auto"/>
        <w:ind w:left="0" w:firstLine="0"/>
      </w:pPr>
      <w:r>
        <w:rPr>
          <w:b/>
        </w:rPr>
        <w:t xml:space="preserve"> </w:t>
      </w:r>
    </w:p>
    <w:p w:rsidR="00613232" w:rsidRDefault="00CD11D8">
      <w:pPr>
        <w:pStyle w:val="Heading1"/>
        <w:ind w:left="-5"/>
      </w:pPr>
      <w:r>
        <w:t>COMPUTER SKILLS</w:t>
      </w:r>
      <w:r>
        <w:rPr>
          <w:rFonts w:ascii="Georgia" w:eastAsia="Georgia" w:hAnsi="Georgia" w:cs="Georgia"/>
          <w:b w:val="0"/>
          <w:sz w:val="22"/>
        </w:rPr>
        <w:t xml:space="preserve"> &amp; </w:t>
      </w:r>
      <w:r>
        <w:t xml:space="preserve">CERTIFICATIONS </w:t>
      </w:r>
    </w:p>
    <w:p w:rsidR="00613232" w:rsidRDefault="00CD11D8">
      <w:pPr>
        <w:spacing w:after="0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077456" cy="6096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6" cy="6096"/>
                          <a:chOff x="0" y="0"/>
                          <a:chExt cx="7077456" cy="6096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7077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456" h="9144">
                                <a:moveTo>
                                  <a:pt x="0" y="0"/>
                                </a:moveTo>
                                <a:lnTo>
                                  <a:pt x="7077456" y="0"/>
                                </a:lnTo>
                                <a:lnTo>
                                  <a:pt x="7077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557.28pt;height:0.47998pt;mso-position-horizontal-relative:char;mso-position-vertical-relative:line" coordsize="70774,60">
                <v:shape id="Shape 2853" style="position:absolute;width:70774;height:91;left:0;top:0;" coordsize="7077456,9144" path="m0,0l7077456,0l7077456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:rsidR="00613232" w:rsidRDefault="00CD11D8">
      <w:pPr>
        <w:tabs>
          <w:tab w:val="center" w:pos="1951"/>
          <w:tab w:val="center" w:pos="7828"/>
        </w:tabs>
        <w:spacing w:after="34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>Programming languages</w:t>
      </w:r>
      <w:r>
        <w:t xml:space="preserve">: Python, R, VBA </w:t>
      </w:r>
      <w:r>
        <w:tab/>
      </w:r>
      <w:r>
        <w:rPr>
          <w:b/>
        </w:rPr>
        <w:t xml:space="preserve">         </w:t>
      </w:r>
      <w:r>
        <w:rPr>
          <w:b/>
          <w:color w:val="000000"/>
        </w:rPr>
        <w:t>S</w:t>
      </w:r>
      <w:r>
        <w:rPr>
          <w:b/>
          <w:color w:val="000000"/>
        </w:rPr>
        <w:t>oftware</w:t>
      </w:r>
      <w:r>
        <w:t xml:space="preserve">: Bloomberg, Power BI, Tableau </w:t>
      </w:r>
    </w:p>
    <w:p w:rsidR="00613232" w:rsidRDefault="00CD11D8">
      <w:pPr>
        <w:tabs>
          <w:tab w:val="center" w:pos="1730"/>
          <w:tab w:val="center" w:pos="7802"/>
        </w:tabs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>Big Data Tools</w:t>
      </w:r>
      <w:r>
        <w:t xml:space="preserve">: Hadoop, Spark, Hive </w:t>
      </w:r>
      <w:r>
        <w:tab/>
      </w:r>
      <w:r>
        <w:rPr>
          <w:b/>
        </w:rPr>
        <w:t xml:space="preserve">         </w:t>
      </w:r>
      <w:r>
        <w:rPr>
          <w:b/>
          <w:color w:val="000000"/>
        </w:rPr>
        <w:t>Certifications</w:t>
      </w:r>
      <w:r>
        <w:t xml:space="preserve">: Charter Financial Analyst </w:t>
      </w:r>
    </w:p>
    <w:p w:rsidR="00613232" w:rsidRDefault="00CD11D8">
      <w:pPr>
        <w:tabs>
          <w:tab w:val="center" w:pos="2728"/>
          <w:tab w:val="center" w:pos="8099"/>
        </w:tabs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b/>
          <w:color w:val="000000"/>
        </w:rPr>
        <w:t>Relational and NoSQL Databases</w:t>
      </w:r>
      <w:r>
        <w:t xml:space="preserve">: MySQL, MongoDB, Neo4j </w:t>
      </w:r>
      <w:r>
        <w:tab/>
      </w:r>
      <w:r>
        <w:rPr>
          <w:b/>
        </w:rPr>
        <w:t xml:space="preserve">         </w:t>
      </w:r>
      <w:r>
        <w:rPr>
          <w:b/>
          <w:color w:val="000000"/>
        </w:rPr>
        <w:t>Other</w:t>
      </w:r>
      <w:r>
        <w:t xml:space="preserve">: GUI development, git, Excel, TensorFlow </w:t>
      </w:r>
    </w:p>
    <w:sectPr w:rsidR="00613232">
      <w:pgSz w:w="12240" w:h="15840"/>
      <w:pgMar w:top="1440" w:right="614" w:bottom="1440" w:left="5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F2"/>
    <w:multiLevelType w:val="hybridMultilevel"/>
    <w:tmpl w:val="F206679C"/>
    <w:lvl w:ilvl="0" w:tplc="67C4515A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149E80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65B8E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4DD88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BC15F0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4F9C4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E9F38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941B0A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E8C8E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AE7CB3"/>
    <w:multiLevelType w:val="hybridMultilevel"/>
    <w:tmpl w:val="55CA817E"/>
    <w:lvl w:ilvl="0" w:tplc="1C8C912A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E8580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6D12C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4F19A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4ABB8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AFFA2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70780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25698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68C54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5D245E"/>
    <w:multiLevelType w:val="hybridMultilevel"/>
    <w:tmpl w:val="D4E28AC4"/>
    <w:lvl w:ilvl="0" w:tplc="2C04DE1E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8CEE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8CA4B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9C1F7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ED400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2207E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6F17E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BC5DE0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21076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945324"/>
    <w:multiLevelType w:val="hybridMultilevel"/>
    <w:tmpl w:val="A7E6A27E"/>
    <w:lvl w:ilvl="0" w:tplc="48AEC9CA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C10D8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4C596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A1382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E0AF4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A17A0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5830D4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45B50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60B26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232"/>
    <w:rsid w:val="00613232"/>
    <w:rsid w:val="00C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EEBD7-B315-4836-BD5A-91A478A0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Arial" w:eastAsia="Arial" w:hAnsi="Arial" w:cs="Arial"/>
      <w:color w:val="7E7E7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Eitrheim Resume</dc:title>
  <dc:subject/>
  <dc:creator>Ann Eitrheim</dc:creator>
  <cp:keywords/>
  <cp:lastModifiedBy>ziad emad</cp:lastModifiedBy>
  <cp:revision>2</cp:revision>
  <dcterms:created xsi:type="dcterms:W3CDTF">2022-02-12T11:27:00Z</dcterms:created>
  <dcterms:modified xsi:type="dcterms:W3CDTF">2022-02-12T11:27:00Z</dcterms:modified>
</cp:coreProperties>
</file>