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3D1" w:rsidRDefault="003018BB">
      <w:pPr>
        <w:spacing w:after="200"/>
      </w:pPr>
      <w:r>
        <w:t xml:space="preserve"> </w:t>
      </w:r>
    </w:p>
    <w:p w:rsidR="005E53D1" w:rsidRDefault="003018BB">
      <w:pPr>
        <w:spacing w:after="0"/>
        <w:ind w:left="109"/>
        <w:jc w:val="center"/>
      </w:pPr>
      <w:r>
        <w:rPr>
          <w:b/>
          <w:sz w:val="28"/>
          <w:u w:val="single" w:color="000000"/>
        </w:rPr>
        <w:t>TASNEEM NASRULLA</w:t>
      </w:r>
      <w:r>
        <w:t xml:space="preserve"> </w:t>
      </w:r>
    </w:p>
    <w:p w:rsidR="005E53D1" w:rsidRDefault="003018BB">
      <w:pPr>
        <w:pStyle w:val="Heading1"/>
        <w:ind w:left="-5"/>
      </w:pPr>
      <w:r>
        <w:t>PROFESSIONAL EXPERIENCE</w:t>
      </w:r>
      <w:r>
        <w:rPr>
          <w:b w:val="0"/>
        </w:rPr>
        <w:t xml:space="preserve"> </w:t>
      </w:r>
    </w:p>
    <w:p w:rsidR="005E53D1" w:rsidRDefault="003018BB">
      <w:pPr>
        <w:tabs>
          <w:tab w:val="center" w:pos="4397"/>
        </w:tabs>
        <w:spacing w:after="0"/>
      </w:pPr>
      <w:r>
        <w:rPr>
          <w:sz w:val="20"/>
        </w:rPr>
        <w:t xml:space="preserve">Apr 2016 –   </w:t>
      </w:r>
      <w:r>
        <w:rPr>
          <w:sz w:val="20"/>
        </w:rPr>
        <w:tab/>
      </w:r>
      <w:r>
        <w:rPr>
          <w:b/>
          <w:sz w:val="20"/>
          <w:u w:val="single" w:color="000000"/>
        </w:rPr>
        <w:t>Compliance Officer - Reliance Asset Management (S) Pte Ltd, Singapore</w:t>
      </w:r>
      <w:r>
        <w:t xml:space="preserve"> </w:t>
      </w:r>
    </w:p>
    <w:tbl>
      <w:tblPr>
        <w:tblStyle w:val="TableGrid"/>
        <w:tblW w:w="10850" w:type="dxa"/>
        <w:tblInd w:w="0" w:type="dxa"/>
        <w:tblCellMar>
          <w:top w:w="0" w:type="dxa"/>
          <w:left w:w="0" w:type="dxa"/>
          <w:bottom w:w="0" w:type="dxa"/>
          <w:right w:w="0" w:type="dxa"/>
        </w:tblCellMar>
        <w:tblLook w:val="04A0" w:firstRow="1" w:lastRow="0" w:firstColumn="1" w:lastColumn="0" w:noHBand="0" w:noVBand="1"/>
      </w:tblPr>
      <w:tblGrid>
        <w:gridCol w:w="1440"/>
        <w:gridCol w:w="360"/>
        <w:gridCol w:w="9050"/>
      </w:tblGrid>
      <w:tr w:rsidR="005E53D1">
        <w:trPr>
          <w:trHeight w:val="266"/>
        </w:trPr>
        <w:tc>
          <w:tcPr>
            <w:tcW w:w="1440" w:type="dxa"/>
            <w:tcBorders>
              <w:top w:val="nil"/>
              <w:left w:val="nil"/>
              <w:bottom w:val="nil"/>
              <w:right w:val="nil"/>
            </w:tcBorders>
          </w:tcPr>
          <w:p w:rsidR="005E53D1" w:rsidRDefault="003018BB">
            <w:pPr>
              <w:spacing w:after="0"/>
            </w:pPr>
            <w:r>
              <w:rPr>
                <w:sz w:val="20"/>
              </w:rPr>
              <w:t xml:space="preserve">Present  </w:t>
            </w:r>
          </w:p>
        </w:tc>
        <w:tc>
          <w:tcPr>
            <w:tcW w:w="9410" w:type="dxa"/>
            <w:gridSpan w:val="2"/>
            <w:tcBorders>
              <w:top w:val="nil"/>
              <w:left w:val="nil"/>
              <w:bottom w:val="nil"/>
              <w:right w:val="nil"/>
            </w:tcBorders>
          </w:tcPr>
          <w:p w:rsidR="005E53D1" w:rsidRDefault="003018BB">
            <w:pPr>
              <w:spacing w:after="0"/>
            </w:pPr>
            <w:r>
              <w:rPr>
                <w:sz w:val="20"/>
              </w:rPr>
              <w:t>Responsible for the Regulatory and Investment Compliance of a Capital Market Services licensed Fund Manager.</w:t>
            </w:r>
            <w:r>
              <w:t xml:space="preserve"> </w:t>
            </w:r>
          </w:p>
        </w:tc>
      </w:tr>
      <w:tr w:rsidR="005E53D1">
        <w:trPr>
          <w:trHeight w:val="485"/>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Mandating and ensuring Regulatory Reporting &amp; Compliance. Liaising with regulators and authorities on all compliance/regulatory matters in di</w:t>
            </w:r>
            <w:r>
              <w:rPr>
                <w:sz w:val="20"/>
              </w:rPr>
              <w:t xml:space="preserve">fferent jurisdictions. </w:t>
            </w:r>
          </w:p>
        </w:tc>
      </w:tr>
      <w:tr w:rsidR="005E53D1">
        <w:trPr>
          <w:trHeight w:val="242"/>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pPr>
            <w:r>
              <w:rPr>
                <w:sz w:val="20"/>
              </w:rPr>
              <w:t xml:space="preserve">Preparing monthly Compliance Report to the Board of Directors &amp; Risk Report to CRO of Parent Company. </w:t>
            </w:r>
          </w:p>
        </w:tc>
      </w:tr>
      <w:tr w:rsidR="005E53D1">
        <w:trPr>
          <w:trHeight w:val="734"/>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 xml:space="preserve">Keeping  the company abreast of regulatory developments with the Monetary Authority of Singapore(MAS), </w:t>
            </w:r>
          </w:p>
          <w:p w:rsidR="005E53D1" w:rsidRDefault="003018BB">
            <w:pPr>
              <w:spacing w:after="0"/>
              <w:jc w:val="both"/>
            </w:pPr>
            <w:r>
              <w:rPr>
                <w:sz w:val="20"/>
              </w:rPr>
              <w:t xml:space="preserve">U.S. Securities and Exchange Commission,  Financial Industry Regulatory Authority (FINRA) &amp; Securities and </w:t>
            </w:r>
          </w:p>
          <w:p w:rsidR="005E53D1" w:rsidRDefault="003018BB">
            <w:pPr>
              <w:spacing w:after="0"/>
            </w:pPr>
            <w:r>
              <w:rPr>
                <w:sz w:val="20"/>
              </w:rPr>
              <w:t>Exchange Board of India (SEBI). Periodic SEC</w:t>
            </w:r>
            <w:r>
              <w:rPr>
                <w:sz w:val="20"/>
              </w:rPr>
              <w:t xml:space="preserve">,, SEBI, GABRIEL (FCA) and FATCA reporting </w:t>
            </w:r>
          </w:p>
        </w:tc>
      </w:tr>
      <w:tr w:rsidR="005E53D1">
        <w:trPr>
          <w:trHeight w:val="245"/>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pPr>
            <w:r>
              <w:rPr>
                <w:sz w:val="20"/>
              </w:rPr>
              <w:t xml:space="preserve">Managing ongoing AML/CFT  monitoring </w:t>
            </w:r>
          </w:p>
        </w:tc>
      </w:tr>
      <w:tr w:rsidR="005E53D1">
        <w:trPr>
          <w:trHeight w:val="490"/>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 xml:space="preserve">Reviewing of all Customer Due Diligence/ KYC documentations, onboarding and ongoing monitoring of clients </w:t>
            </w:r>
          </w:p>
          <w:p w:rsidR="005E53D1" w:rsidRDefault="003018BB">
            <w:pPr>
              <w:spacing w:after="0"/>
            </w:pPr>
            <w:r>
              <w:rPr>
                <w:sz w:val="20"/>
              </w:rPr>
              <w:t xml:space="preserve">&amp; contract agreements </w:t>
            </w:r>
          </w:p>
        </w:tc>
      </w:tr>
      <w:tr w:rsidR="005E53D1">
        <w:trPr>
          <w:trHeight w:val="485"/>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Facilitating semi-</w:t>
            </w:r>
            <w:r>
              <w:rPr>
                <w:sz w:val="20"/>
              </w:rPr>
              <w:t xml:space="preserve">annual internal  and external audits, addressing concerns highlighted &amp; ensuring follow up with Audit Committee and Board of Directors </w:t>
            </w:r>
          </w:p>
        </w:tc>
      </w:tr>
      <w:tr w:rsidR="005E53D1">
        <w:trPr>
          <w:trHeight w:val="490"/>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Reviewing, enhancing and implementing new policies and processes to enhance compliance &amp; ensure proper internal con</w:t>
            </w:r>
            <w:r>
              <w:rPr>
                <w:sz w:val="20"/>
              </w:rPr>
              <w:t xml:space="preserve">trol, segregation of functions, mitigation of conflicts of interest </w:t>
            </w:r>
          </w:p>
        </w:tc>
      </w:tr>
      <w:tr w:rsidR="005E53D1">
        <w:trPr>
          <w:trHeight w:val="490"/>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 xml:space="preserve">Identifying &amp; reporting risks to the Risk Management Committee.  Implementing risk approved mitigation measures and updating the risk bank. </w:t>
            </w:r>
          </w:p>
        </w:tc>
      </w:tr>
      <w:tr w:rsidR="005E53D1">
        <w:trPr>
          <w:trHeight w:val="487"/>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 xml:space="preserve">Preparing board resolutions &amp; coordinating with Company Secretary with respect to  periodic filings like MAS </w:t>
            </w:r>
          </w:p>
          <w:p w:rsidR="005E53D1" w:rsidRDefault="003018BB">
            <w:pPr>
              <w:spacing w:after="0"/>
            </w:pPr>
            <w:r>
              <w:rPr>
                <w:sz w:val="20"/>
              </w:rPr>
              <w:t xml:space="preserve">&amp; ACRA </w:t>
            </w:r>
          </w:p>
        </w:tc>
      </w:tr>
      <w:tr w:rsidR="005E53D1">
        <w:trPr>
          <w:trHeight w:val="242"/>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pPr>
            <w:r>
              <w:rPr>
                <w:sz w:val="20"/>
              </w:rPr>
              <w:t xml:space="preserve">Reviewing ongoing marketing materials and newsletters </w:t>
            </w:r>
          </w:p>
        </w:tc>
      </w:tr>
      <w:tr w:rsidR="005E53D1">
        <w:trPr>
          <w:trHeight w:val="245"/>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pPr>
            <w:r>
              <w:rPr>
                <w:sz w:val="20"/>
              </w:rPr>
              <w:t xml:space="preserve">Successfully wrapped up MAS Audit upon joining the Company. </w:t>
            </w:r>
          </w:p>
        </w:tc>
      </w:tr>
      <w:tr w:rsidR="005E53D1">
        <w:trPr>
          <w:trHeight w:val="490"/>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 xml:space="preserve">Updated and implemented all company manuals (i.e Compliance, AML, Risk Management, Investment, IT Policy &amp; Procedures, Employee Handbook)  as well as CDD Onboarding &amp; Review Forms. </w:t>
            </w:r>
          </w:p>
        </w:tc>
      </w:tr>
      <w:tr w:rsidR="005E53D1">
        <w:trPr>
          <w:trHeight w:val="490"/>
        </w:trPr>
        <w:tc>
          <w:tcPr>
            <w:tcW w:w="1440" w:type="dxa"/>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 xml:space="preserve">Liaising with distributors of various Funds from reviewing distribution agreements to onboarding and review of all distributors and platforms. </w:t>
            </w:r>
          </w:p>
        </w:tc>
      </w:tr>
      <w:tr w:rsidR="005E53D1">
        <w:trPr>
          <w:trHeight w:val="245"/>
        </w:trPr>
        <w:tc>
          <w:tcPr>
            <w:tcW w:w="1440" w:type="dxa"/>
            <w:vMerge w:val="restart"/>
            <w:tcBorders>
              <w:top w:val="nil"/>
              <w:left w:val="nil"/>
              <w:bottom w:val="nil"/>
              <w:right w:val="nil"/>
            </w:tcBorders>
          </w:tcPr>
          <w:p w:rsidR="005E53D1" w:rsidRDefault="005E53D1"/>
        </w:tc>
        <w:tc>
          <w:tcPr>
            <w:tcW w:w="360" w:type="dxa"/>
            <w:tcBorders>
              <w:top w:val="nil"/>
              <w:left w:val="nil"/>
              <w:bottom w:val="nil"/>
              <w:right w:val="nil"/>
            </w:tcBorders>
          </w:tcPr>
          <w:p w:rsidR="005E53D1" w:rsidRDefault="003018BB">
            <w:pPr>
              <w:spacing w:after="0"/>
            </w:pPr>
            <w:r>
              <w:rPr>
                <w:rFonts w:ascii="Arial" w:eastAsia="Arial" w:hAnsi="Arial" w:cs="Arial"/>
                <w:sz w:val="20"/>
              </w:rPr>
              <w:t xml:space="preserve">- </w:t>
            </w:r>
          </w:p>
        </w:tc>
        <w:tc>
          <w:tcPr>
            <w:tcW w:w="9050" w:type="dxa"/>
            <w:tcBorders>
              <w:top w:val="nil"/>
              <w:left w:val="nil"/>
              <w:bottom w:val="nil"/>
              <w:right w:val="nil"/>
            </w:tcBorders>
          </w:tcPr>
          <w:p w:rsidR="005E53D1" w:rsidRDefault="003018BB">
            <w:pPr>
              <w:spacing w:after="0"/>
              <w:jc w:val="both"/>
            </w:pPr>
            <w:r>
              <w:rPr>
                <w:sz w:val="20"/>
              </w:rPr>
              <w:t xml:space="preserve">Overseeing all Audit Committee, Risk Management Committee &amp; Board of Directors Meetings including </w:t>
            </w:r>
          </w:p>
        </w:tc>
      </w:tr>
      <w:tr w:rsidR="005E53D1">
        <w:trPr>
          <w:trHeight w:val="230"/>
        </w:trPr>
        <w:tc>
          <w:tcPr>
            <w:tcW w:w="0" w:type="auto"/>
            <w:vMerge/>
            <w:tcBorders>
              <w:top w:val="nil"/>
              <w:left w:val="nil"/>
              <w:bottom w:val="nil"/>
              <w:right w:val="nil"/>
            </w:tcBorders>
          </w:tcPr>
          <w:p w:rsidR="005E53D1" w:rsidRDefault="005E53D1"/>
        </w:tc>
        <w:tc>
          <w:tcPr>
            <w:tcW w:w="9410" w:type="dxa"/>
            <w:gridSpan w:val="2"/>
            <w:tcBorders>
              <w:top w:val="nil"/>
              <w:left w:val="nil"/>
              <w:bottom w:val="nil"/>
              <w:right w:val="nil"/>
            </w:tcBorders>
          </w:tcPr>
          <w:p w:rsidR="005E53D1" w:rsidRDefault="003018BB">
            <w:pPr>
              <w:spacing w:after="0"/>
              <w:ind w:left="360"/>
            </w:pPr>
            <w:r>
              <w:rPr>
                <w:sz w:val="20"/>
              </w:rPr>
              <w:t xml:space="preserve">drafting of all minutes of the meetings. </w:t>
            </w:r>
          </w:p>
        </w:tc>
      </w:tr>
      <w:tr w:rsidR="005E53D1">
        <w:trPr>
          <w:trHeight w:val="247"/>
        </w:trPr>
        <w:tc>
          <w:tcPr>
            <w:tcW w:w="1440" w:type="dxa"/>
            <w:tcBorders>
              <w:top w:val="nil"/>
              <w:left w:val="nil"/>
              <w:bottom w:val="nil"/>
              <w:right w:val="nil"/>
            </w:tcBorders>
          </w:tcPr>
          <w:p w:rsidR="005E53D1" w:rsidRDefault="003018BB">
            <w:pPr>
              <w:spacing w:after="0"/>
            </w:pPr>
            <w:r>
              <w:rPr>
                <w:sz w:val="20"/>
              </w:rPr>
              <w:t xml:space="preserve">Dec 2013 –  </w:t>
            </w:r>
          </w:p>
        </w:tc>
        <w:tc>
          <w:tcPr>
            <w:tcW w:w="9410" w:type="dxa"/>
            <w:gridSpan w:val="2"/>
            <w:tcBorders>
              <w:top w:val="nil"/>
              <w:left w:val="nil"/>
              <w:bottom w:val="nil"/>
              <w:right w:val="nil"/>
            </w:tcBorders>
          </w:tcPr>
          <w:p w:rsidR="005E53D1" w:rsidRDefault="003018BB">
            <w:pPr>
              <w:spacing w:after="0"/>
            </w:pPr>
            <w:r>
              <w:rPr>
                <w:b/>
                <w:sz w:val="20"/>
                <w:u w:val="single" w:color="000000"/>
              </w:rPr>
              <w:t>Compliance Manager (Reinsurance) – RKH Specialty Asia Pacific Pte Ltd, Singapore</w:t>
            </w:r>
            <w:r>
              <w:t xml:space="preserve"> </w:t>
            </w:r>
          </w:p>
        </w:tc>
      </w:tr>
      <w:tr w:rsidR="005E53D1">
        <w:trPr>
          <w:trHeight w:val="3922"/>
        </w:trPr>
        <w:tc>
          <w:tcPr>
            <w:tcW w:w="1440" w:type="dxa"/>
            <w:tcBorders>
              <w:top w:val="nil"/>
              <w:left w:val="nil"/>
              <w:bottom w:val="nil"/>
              <w:right w:val="nil"/>
            </w:tcBorders>
          </w:tcPr>
          <w:p w:rsidR="005E53D1" w:rsidRDefault="003018BB">
            <w:pPr>
              <w:spacing w:after="0"/>
            </w:pPr>
            <w:r>
              <w:rPr>
                <w:sz w:val="20"/>
              </w:rPr>
              <w:t xml:space="preserve">Mar 2016 </w:t>
            </w:r>
          </w:p>
        </w:tc>
        <w:tc>
          <w:tcPr>
            <w:tcW w:w="9410" w:type="dxa"/>
            <w:gridSpan w:val="2"/>
            <w:tcBorders>
              <w:top w:val="nil"/>
              <w:left w:val="nil"/>
              <w:bottom w:val="nil"/>
              <w:right w:val="nil"/>
            </w:tcBorders>
          </w:tcPr>
          <w:p w:rsidR="005E53D1" w:rsidRDefault="003018BB">
            <w:pPr>
              <w:spacing w:after="0"/>
            </w:pPr>
            <w:r>
              <w:rPr>
                <w:sz w:val="20"/>
              </w:rPr>
              <w:t>Responsible for overseeing the Corporate Compliance Program for the company</w:t>
            </w:r>
            <w:r>
              <w:t xml:space="preserve"> </w:t>
            </w:r>
          </w:p>
          <w:p w:rsidR="005E53D1" w:rsidRDefault="003018BB">
            <w:pPr>
              <w:numPr>
                <w:ilvl w:val="0"/>
                <w:numId w:val="2"/>
              </w:numPr>
              <w:spacing w:after="0" w:line="239" w:lineRule="auto"/>
              <w:ind w:hanging="360"/>
              <w:jc w:val="both"/>
            </w:pPr>
            <w:r>
              <w:rPr>
                <w:sz w:val="20"/>
              </w:rPr>
              <w:t>Working in association with Gr</w:t>
            </w:r>
            <w:r>
              <w:rPr>
                <w:sz w:val="20"/>
              </w:rPr>
              <w:t>oup Compliance in London to ensure policies and procedures are implemented effectively within RKH. Adhering to FCA regulations in like with parent company in UK. Taking ownership of certain aspects of the firm’s policies and procedures that address RKH’s r</w:t>
            </w:r>
            <w:r>
              <w:rPr>
                <w:sz w:val="20"/>
              </w:rPr>
              <w:t xml:space="preserve">egulatory risks, including drafting and implementing new policies and procedures. </w:t>
            </w:r>
          </w:p>
          <w:p w:rsidR="005E53D1" w:rsidRDefault="003018BB">
            <w:pPr>
              <w:numPr>
                <w:ilvl w:val="0"/>
                <w:numId w:val="2"/>
              </w:numPr>
              <w:spacing w:after="0" w:line="239" w:lineRule="auto"/>
              <w:ind w:hanging="360"/>
              <w:jc w:val="both"/>
            </w:pPr>
            <w:r>
              <w:rPr>
                <w:sz w:val="20"/>
              </w:rPr>
              <w:t xml:space="preserve">Acting as the liaison officer with the MAS and to support the CEO in the submission of all MAS returns, applications and notifications. </w:t>
            </w:r>
          </w:p>
          <w:p w:rsidR="005E53D1" w:rsidRDefault="003018BB">
            <w:pPr>
              <w:numPr>
                <w:ilvl w:val="0"/>
                <w:numId w:val="2"/>
              </w:numPr>
              <w:spacing w:after="0" w:line="239" w:lineRule="auto"/>
              <w:ind w:hanging="360"/>
              <w:jc w:val="both"/>
            </w:pPr>
            <w:r>
              <w:rPr>
                <w:sz w:val="20"/>
              </w:rPr>
              <w:t>Supporting the anti-money laundering</w:t>
            </w:r>
            <w:r>
              <w:rPr>
                <w:sz w:val="20"/>
              </w:rPr>
              <w:t xml:space="preserve"> / sanctions/ financial crime function as stipulated by Singapore regulations and in line with RKH’s policies and procedures. Working closely with the Operations and Compliance Representatives (OCRs) from the respective business lines with regards to appro</w:t>
            </w:r>
            <w:r>
              <w:rPr>
                <w:sz w:val="20"/>
              </w:rPr>
              <w:t xml:space="preserve">val process for Security, Third Parties Producers </w:t>
            </w:r>
          </w:p>
          <w:p w:rsidR="005E53D1" w:rsidRDefault="003018BB">
            <w:pPr>
              <w:numPr>
                <w:ilvl w:val="0"/>
                <w:numId w:val="2"/>
              </w:numPr>
              <w:spacing w:after="0"/>
              <w:ind w:hanging="360"/>
              <w:jc w:val="both"/>
            </w:pPr>
            <w:r>
              <w:rPr>
                <w:sz w:val="20"/>
              </w:rPr>
              <w:t xml:space="preserve">Conduct monthly internal audit / file reviews on all RKH placements in Singapore &amp; London. </w:t>
            </w:r>
          </w:p>
          <w:p w:rsidR="005E53D1" w:rsidRDefault="003018BB">
            <w:pPr>
              <w:numPr>
                <w:ilvl w:val="0"/>
                <w:numId w:val="2"/>
              </w:numPr>
              <w:spacing w:after="27" w:line="234" w:lineRule="auto"/>
              <w:ind w:hanging="360"/>
              <w:jc w:val="both"/>
            </w:pPr>
            <w:r>
              <w:rPr>
                <w:sz w:val="20"/>
              </w:rPr>
              <w:t xml:space="preserve">Providing assistance to the business on compliance/ regulatory matters and client due diligence (CDD) process. </w:t>
            </w:r>
            <w:r>
              <w:rPr>
                <w:rFonts w:ascii="Arial" w:eastAsia="Arial" w:hAnsi="Arial" w:cs="Arial"/>
                <w:sz w:val="20"/>
              </w:rPr>
              <w:t xml:space="preserve">- </w:t>
            </w:r>
            <w:r>
              <w:rPr>
                <w:rFonts w:ascii="Arial" w:eastAsia="Arial" w:hAnsi="Arial" w:cs="Arial"/>
                <w:sz w:val="20"/>
              </w:rPr>
              <w:tab/>
            </w:r>
            <w:r>
              <w:rPr>
                <w:sz w:val="20"/>
              </w:rPr>
              <w:t xml:space="preserve">Responsible for continuous compliance training of RKH Singapore Staff </w:t>
            </w:r>
          </w:p>
          <w:p w:rsidR="005E53D1" w:rsidRDefault="003018BB">
            <w:pPr>
              <w:numPr>
                <w:ilvl w:val="0"/>
                <w:numId w:val="2"/>
              </w:numPr>
              <w:spacing w:after="0"/>
              <w:ind w:hanging="360"/>
              <w:jc w:val="both"/>
            </w:pPr>
            <w:r>
              <w:rPr>
                <w:sz w:val="20"/>
              </w:rPr>
              <w:t>Providing compliance advice and assistance to Howden Korea (Retail Insu</w:t>
            </w:r>
            <w:r>
              <w:rPr>
                <w:sz w:val="20"/>
              </w:rPr>
              <w:t>rance) with respect to CDD and sanctions.</w:t>
            </w:r>
            <w:r>
              <w:t xml:space="preserve"> </w:t>
            </w:r>
          </w:p>
        </w:tc>
      </w:tr>
      <w:tr w:rsidR="005E53D1">
        <w:trPr>
          <w:trHeight w:val="245"/>
        </w:trPr>
        <w:tc>
          <w:tcPr>
            <w:tcW w:w="1440" w:type="dxa"/>
            <w:tcBorders>
              <w:top w:val="nil"/>
              <w:left w:val="nil"/>
              <w:bottom w:val="nil"/>
              <w:right w:val="nil"/>
            </w:tcBorders>
          </w:tcPr>
          <w:p w:rsidR="005E53D1" w:rsidRDefault="003018BB">
            <w:pPr>
              <w:spacing w:after="0"/>
            </w:pPr>
            <w:r>
              <w:rPr>
                <w:sz w:val="20"/>
              </w:rPr>
              <w:t xml:space="preserve">Aug 2013 -  </w:t>
            </w:r>
          </w:p>
        </w:tc>
        <w:tc>
          <w:tcPr>
            <w:tcW w:w="9410" w:type="dxa"/>
            <w:gridSpan w:val="2"/>
            <w:tcBorders>
              <w:top w:val="nil"/>
              <w:left w:val="nil"/>
              <w:bottom w:val="nil"/>
              <w:right w:val="nil"/>
            </w:tcBorders>
          </w:tcPr>
          <w:p w:rsidR="005E53D1" w:rsidRDefault="003018BB">
            <w:pPr>
              <w:spacing w:after="0"/>
            </w:pPr>
            <w:r>
              <w:rPr>
                <w:b/>
                <w:sz w:val="20"/>
                <w:u w:val="single" w:color="000000"/>
              </w:rPr>
              <w:t>Compliance Manager – Global Financial Consultants Pte Ltd, Singapore</w:t>
            </w:r>
            <w:r>
              <w:t xml:space="preserve"> </w:t>
            </w:r>
          </w:p>
        </w:tc>
      </w:tr>
      <w:tr w:rsidR="005E53D1">
        <w:trPr>
          <w:trHeight w:val="1238"/>
        </w:trPr>
        <w:tc>
          <w:tcPr>
            <w:tcW w:w="1440" w:type="dxa"/>
            <w:tcBorders>
              <w:top w:val="nil"/>
              <w:left w:val="nil"/>
              <w:bottom w:val="nil"/>
              <w:right w:val="nil"/>
            </w:tcBorders>
          </w:tcPr>
          <w:p w:rsidR="005E53D1" w:rsidRDefault="003018BB">
            <w:pPr>
              <w:spacing w:after="0"/>
            </w:pPr>
            <w:r>
              <w:rPr>
                <w:sz w:val="20"/>
              </w:rPr>
              <w:lastRenderedPageBreak/>
              <w:t xml:space="preserve">Oct 2013 </w:t>
            </w:r>
          </w:p>
        </w:tc>
        <w:tc>
          <w:tcPr>
            <w:tcW w:w="9410" w:type="dxa"/>
            <w:gridSpan w:val="2"/>
            <w:tcBorders>
              <w:top w:val="nil"/>
              <w:left w:val="nil"/>
              <w:bottom w:val="nil"/>
              <w:right w:val="nil"/>
            </w:tcBorders>
          </w:tcPr>
          <w:p w:rsidR="005E53D1" w:rsidRDefault="003018BB">
            <w:pPr>
              <w:spacing w:after="0"/>
            </w:pPr>
            <w:r>
              <w:rPr>
                <w:sz w:val="20"/>
              </w:rPr>
              <w:t>Responsible for overseeing the Corporate Compliance Program for the company.</w:t>
            </w:r>
            <w:r>
              <w:t xml:space="preserve"> </w:t>
            </w:r>
          </w:p>
          <w:p w:rsidR="005E53D1" w:rsidRDefault="003018BB">
            <w:pPr>
              <w:numPr>
                <w:ilvl w:val="0"/>
                <w:numId w:val="3"/>
              </w:numPr>
              <w:spacing w:after="0"/>
              <w:ind w:hanging="360"/>
            </w:pPr>
            <w:r>
              <w:rPr>
                <w:sz w:val="20"/>
              </w:rPr>
              <w:t xml:space="preserve">Represented the firm in communication and interaction with the Monetary Authority of Singapore (MAS) </w:t>
            </w:r>
          </w:p>
          <w:p w:rsidR="005E53D1" w:rsidRDefault="003018BB">
            <w:pPr>
              <w:numPr>
                <w:ilvl w:val="0"/>
                <w:numId w:val="3"/>
              </w:numPr>
              <w:spacing w:after="1"/>
              <w:ind w:hanging="360"/>
            </w:pPr>
            <w:r>
              <w:rPr>
                <w:sz w:val="20"/>
              </w:rPr>
              <w:t xml:space="preserve">Maintained all regulatory requirements for the Exempt Financial Advisory (EFA) license awarded by MAS </w:t>
            </w:r>
          </w:p>
          <w:p w:rsidR="005E53D1" w:rsidRDefault="003018BB">
            <w:pPr>
              <w:numPr>
                <w:ilvl w:val="0"/>
                <w:numId w:val="3"/>
              </w:numPr>
              <w:spacing w:after="0"/>
              <w:ind w:hanging="360"/>
            </w:pPr>
            <w:r>
              <w:rPr>
                <w:sz w:val="20"/>
              </w:rPr>
              <w:t>Created the new organization structure for the comp</w:t>
            </w:r>
            <w:r>
              <w:rPr>
                <w:sz w:val="20"/>
              </w:rPr>
              <w:t>any in adherence with the Corporate Governance Guidelines by Monetary Authority of Singapore (MAS)</w:t>
            </w:r>
            <w:r>
              <w:t xml:space="preserve"> </w:t>
            </w:r>
          </w:p>
        </w:tc>
      </w:tr>
      <w:tr w:rsidR="005E53D1">
        <w:trPr>
          <w:trHeight w:val="245"/>
        </w:trPr>
        <w:tc>
          <w:tcPr>
            <w:tcW w:w="1440" w:type="dxa"/>
            <w:tcBorders>
              <w:top w:val="nil"/>
              <w:left w:val="nil"/>
              <w:bottom w:val="nil"/>
              <w:right w:val="nil"/>
            </w:tcBorders>
          </w:tcPr>
          <w:p w:rsidR="005E53D1" w:rsidRDefault="003018BB">
            <w:pPr>
              <w:spacing w:after="0"/>
            </w:pPr>
            <w:r>
              <w:rPr>
                <w:sz w:val="20"/>
              </w:rPr>
              <w:t xml:space="preserve">Jan 2012 –  </w:t>
            </w:r>
          </w:p>
        </w:tc>
        <w:tc>
          <w:tcPr>
            <w:tcW w:w="9410" w:type="dxa"/>
            <w:gridSpan w:val="2"/>
            <w:tcBorders>
              <w:top w:val="nil"/>
              <w:left w:val="nil"/>
              <w:bottom w:val="nil"/>
              <w:right w:val="nil"/>
            </w:tcBorders>
          </w:tcPr>
          <w:p w:rsidR="005E53D1" w:rsidRDefault="003018BB">
            <w:pPr>
              <w:spacing w:after="0"/>
            </w:pPr>
            <w:r>
              <w:rPr>
                <w:b/>
                <w:sz w:val="20"/>
                <w:u w:val="single" w:color="000000"/>
              </w:rPr>
              <w:t xml:space="preserve"> VP – Compliance, LVP Premier Asset Management Pte Ltd, Singapore</w:t>
            </w:r>
            <w:r>
              <w:t xml:space="preserve"> </w:t>
            </w:r>
          </w:p>
        </w:tc>
      </w:tr>
      <w:tr w:rsidR="005E53D1">
        <w:trPr>
          <w:trHeight w:val="737"/>
        </w:trPr>
        <w:tc>
          <w:tcPr>
            <w:tcW w:w="1440" w:type="dxa"/>
            <w:tcBorders>
              <w:top w:val="nil"/>
              <w:left w:val="nil"/>
              <w:bottom w:val="nil"/>
              <w:right w:val="nil"/>
            </w:tcBorders>
          </w:tcPr>
          <w:p w:rsidR="005E53D1" w:rsidRDefault="003018BB">
            <w:pPr>
              <w:spacing w:after="0"/>
            </w:pPr>
            <w:r>
              <w:rPr>
                <w:sz w:val="20"/>
              </w:rPr>
              <w:t xml:space="preserve">Feb 2013 </w:t>
            </w:r>
          </w:p>
        </w:tc>
        <w:tc>
          <w:tcPr>
            <w:tcW w:w="9410" w:type="dxa"/>
            <w:gridSpan w:val="2"/>
            <w:tcBorders>
              <w:top w:val="nil"/>
              <w:left w:val="nil"/>
              <w:bottom w:val="nil"/>
              <w:right w:val="nil"/>
            </w:tcBorders>
          </w:tcPr>
          <w:p w:rsidR="005E53D1" w:rsidRDefault="003018BB">
            <w:pPr>
              <w:spacing w:after="0"/>
            </w:pPr>
            <w:r>
              <w:rPr>
                <w:sz w:val="20"/>
              </w:rPr>
              <w:t xml:space="preserve">Responsible for overseeing the Corporate Compliance Program for </w:t>
            </w:r>
            <w:r>
              <w:rPr>
                <w:sz w:val="20"/>
              </w:rPr>
              <w:t>the company.</w:t>
            </w:r>
            <w:r>
              <w:t xml:space="preserve"> </w:t>
            </w:r>
          </w:p>
          <w:p w:rsidR="005E53D1" w:rsidRDefault="003018BB">
            <w:pPr>
              <w:spacing w:after="0"/>
              <w:ind w:left="360" w:hanging="360"/>
              <w:jc w:val="both"/>
            </w:pPr>
            <w:r>
              <w:rPr>
                <w:rFonts w:ascii="Arial" w:eastAsia="Arial" w:hAnsi="Arial" w:cs="Arial"/>
                <w:sz w:val="20"/>
              </w:rPr>
              <w:t xml:space="preserve">- </w:t>
            </w:r>
            <w:r>
              <w:rPr>
                <w:sz w:val="20"/>
              </w:rPr>
              <w:t xml:space="preserve">Represented the firm in communication and interaction with the Monetary Authority of Singapore (MAS) &amp; external auditors. </w:t>
            </w:r>
          </w:p>
        </w:tc>
      </w:tr>
    </w:tbl>
    <w:p w:rsidR="005E53D1" w:rsidRDefault="003018BB">
      <w:pPr>
        <w:spacing w:after="0"/>
      </w:pPr>
      <w:r>
        <w:t xml:space="preserve"> </w:t>
      </w:r>
    </w:p>
    <w:p w:rsidR="005E53D1" w:rsidRDefault="003018BB">
      <w:pPr>
        <w:spacing w:after="0"/>
      </w:pPr>
      <w:r>
        <w:t xml:space="preserve"> </w:t>
      </w:r>
    </w:p>
    <w:tbl>
      <w:tblPr>
        <w:tblStyle w:val="TableGrid"/>
        <w:tblW w:w="10848" w:type="dxa"/>
        <w:tblInd w:w="0" w:type="dxa"/>
        <w:tblCellMar>
          <w:top w:w="0" w:type="dxa"/>
          <w:left w:w="0" w:type="dxa"/>
          <w:bottom w:w="0" w:type="dxa"/>
          <w:right w:w="0" w:type="dxa"/>
        </w:tblCellMar>
        <w:tblLook w:val="04A0" w:firstRow="1" w:lastRow="0" w:firstColumn="1" w:lastColumn="0" w:noHBand="0" w:noVBand="1"/>
      </w:tblPr>
      <w:tblGrid>
        <w:gridCol w:w="1440"/>
        <w:gridCol w:w="9408"/>
      </w:tblGrid>
      <w:tr w:rsidR="005E53D1">
        <w:trPr>
          <w:trHeight w:val="1230"/>
        </w:trPr>
        <w:tc>
          <w:tcPr>
            <w:tcW w:w="1440" w:type="dxa"/>
            <w:tcBorders>
              <w:top w:val="nil"/>
              <w:left w:val="nil"/>
              <w:bottom w:val="nil"/>
              <w:right w:val="nil"/>
            </w:tcBorders>
          </w:tcPr>
          <w:p w:rsidR="005E53D1" w:rsidRDefault="005E53D1"/>
        </w:tc>
        <w:tc>
          <w:tcPr>
            <w:tcW w:w="9408" w:type="dxa"/>
            <w:tcBorders>
              <w:top w:val="nil"/>
              <w:left w:val="nil"/>
              <w:bottom w:val="nil"/>
              <w:right w:val="nil"/>
            </w:tcBorders>
          </w:tcPr>
          <w:p w:rsidR="005E53D1" w:rsidRDefault="003018BB">
            <w:pPr>
              <w:numPr>
                <w:ilvl w:val="0"/>
                <w:numId w:val="4"/>
              </w:numPr>
              <w:spacing w:after="0" w:line="239" w:lineRule="auto"/>
              <w:ind w:hanging="360"/>
              <w:jc w:val="both"/>
            </w:pPr>
            <w:r>
              <w:rPr>
                <w:sz w:val="20"/>
              </w:rPr>
              <w:t xml:space="preserve">Maintained all regulatory requirements for the Exempt Fund Manager (EFM) &amp; Exempt Financial Advisory (EFA) licenses awarded by </w:t>
            </w:r>
            <w:r>
              <w:rPr>
                <w:sz w:val="20"/>
              </w:rPr>
              <w:t xml:space="preserve">MAS, this includes designing the compliance manual for the business. </w:t>
            </w:r>
          </w:p>
          <w:p w:rsidR="005E53D1" w:rsidRDefault="003018BB">
            <w:pPr>
              <w:numPr>
                <w:ilvl w:val="0"/>
                <w:numId w:val="4"/>
              </w:numPr>
              <w:spacing w:after="1"/>
              <w:ind w:hanging="360"/>
              <w:jc w:val="both"/>
            </w:pPr>
            <w:r>
              <w:rPr>
                <w:sz w:val="20"/>
              </w:rPr>
              <w:t xml:space="preserve">Aligned processes &amp; procedures to ensure compliance, for the transition to the Registered FMC Regime. </w:t>
            </w:r>
          </w:p>
          <w:p w:rsidR="005E53D1" w:rsidRDefault="003018BB">
            <w:pPr>
              <w:numPr>
                <w:ilvl w:val="0"/>
                <w:numId w:val="4"/>
              </w:numPr>
              <w:spacing w:after="0"/>
              <w:ind w:hanging="360"/>
              <w:jc w:val="both"/>
            </w:pPr>
            <w:r>
              <w:rPr>
                <w:sz w:val="20"/>
              </w:rPr>
              <w:t>Successfully set up an in-house open-ended fund from reviewing the Private Placemen</w:t>
            </w:r>
            <w:r>
              <w:rPr>
                <w:sz w:val="20"/>
              </w:rPr>
              <w:t>t Memorandum (PPM) to creating processes for valuations, trading and receipt of client monies.</w:t>
            </w:r>
            <w:r>
              <w:t xml:space="preserve">  </w:t>
            </w:r>
          </w:p>
        </w:tc>
      </w:tr>
      <w:tr w:rsidR="005E53D1">
        <w:trPr>
          <w:trHeight w:val="242"/>
        </w:trPr>
        <w:tc>
          <w:tcPr>
            <w:tcW w:w="1440" w:type="dxa"/>
            <w:tcBorders>
              <w:top w:val="nil"/>
              <w:left w:val="nil"/>
              <w:bottom w:val="nil"/>
              <w:right w:val="nil"/>
            </w:tcBorders>
          </w:tcPr>
          <w:p w:rsidR="005E53D1" w:rsidRDefault="003018BB">
            <w:pPr>
              <w:spacing w:after="0"/>
            </w:pPr>
            <w:r>
              <w:rPr>
                <w:sz w:val="20"/>
              </w:rPr>
              <w:t xml:space="preserve">May 2010 –  </w:t>
            </w:r>
          </w:p>
        </w:tc>
        <w:tc>
          <w:tcPr>
            <w:tcW w:w="9408" w:type="dxa"/>
            <w:tcBorders>
              <w:top w:val="nil"/>
              <w:left w:val="nil"/>
              <w:bottom w:val="nil"/>
              <w:right w:val="nil"/>
            </w:tcBorders>
          </w:tcPr>
          <w:p w:rsidR="005E53D1" w:rsidRDefault="003018BB">
            <w:pPr>
              <w:spacing w:after="0"/>
            </w:pPr>
            <w:r>
              <w:rPr>
                <w:b/>
                <w:sz w:val="20"/>
                <w:u w:val="single" w:color="000000"/>
              </w:rPr>
              <w:t>Compliance Manager, Calypso Capital Pte Ltd, Singapore</w:t>
            </w:r>
            <w:r>
              <w:t xml:space="preserve"> </w:t>
            </w:r>
          </w:p>
        </w:tc>
      </w:tr>
      <w:tr w:rsidR="005E53D1">
        <w:trPr>
          <w:trHeight w:val="1466"/>
        </w:trPr>
        <w:tc>
          <w:tcPr>
            <w:tcW w:w="1440" w:type="dxa"/>
            <w:tcBorders>
              <w:top w:val="nil"/>
              <w:left w:val="nil"/>
              <w:bottom w:val="nil"/>
              <w:right w:val="nil"/>
            </w:tcBorders>
          </w:tcPr>
          <w:p w:rsidR="005E53D1" w:rsidRDefault="003018BB">
            <w:pPr>
              <w:spacing w:after="0"/>
            </w:pPr>
            <w:r>
              <w:rPr>
                <w:sz w:val="20"/>
              </w:rPr>
              <w:t xml:space="preserve">Dec 2011 </w:t>
            </w:r>
          </w:p>
        </w:tc>
        <w:tc>
          <w:tcPr>
            <w:tcW w:w="9408" w:type="dxa"/>
            <w:tcBorders>
              <w:top w:val="nil"/>
              <w:left w:val="nil"/>
              <w:bottom w:val="nil"/>
              <w:right w:val="nil"/>
            </w:tcBorders>
          </w:tcPr>
          <w:p w:rsidR="005E53D1" w:rsidRDefault="003018BB">
            <w:pPr>
              <w:spacing w:after="0"/>
            </w:pPr>
            <w:r>
              <w:rPr>
                <w:sz w:val="20"/>
              </w:rPr>
              <w:t>Responsible for overseeing not only the regulatory compliance but also the overall operation of the business.</w:t>
            </w:r>
            <w:r>
              <w:t xml:space="preserve"> </w:t>
            </w:r>
          </w:p>
          <w:p w:rsidR="005E53D1" w:rsidRDefault="003018BB">
            <w:pPr>
              <w:numPr>
                <w:ilvl w:val="0"/>
                <w:numId w:val="5"/>
              </w:numPr>
              <w:spacing w:after="0" w:line="239" w:lineRule="auto"/>
              <w:ind w:hanging="360"/>
            </w:pPr>
            <w:r>
              <w:rPr>
                <w:sz w:val="20"/>
              </w:rPr>
              <w:t xml:space="preserve">Played an integral role in setting up the company, with specific responsibility for licensing (Exempt Fund Manager &amp; Exempt Financial Advisory)  </w:t>
            </w:r>
          </w:p>
          <w:p w:rsidR="005E53D1" w:rsidRDefault="003018BB">
            <w:pPr>
              <w:numPr>
                <w:ilvl w:val="0"/>
                <w:numId w:val="5"/>
              </w:numPr>
              <w:spacing w:after="0"/>
              <w:ind w:hanging="360"/>
            </w:pPr>
            <w:r>
              <w:rPr>
                <w:sz w:val="20"/>
              </w:rPr>
              <w:t xml:space="preserve">Successfully completed the MAS Audit with KPMG, the MAS appointed external auditor. </w:t>
            </w:r>
          </w:p>
          <w:p w:rsidR="005E53D1" w:rsidRDefault="003018BB">
            <w:pPr>
              <w:numPr>
                <w:ilvl w:val="0"/>
                <w:numId w:val="5"/>
              </w:numPr>
              <w:spacing w:after="0"/>
              <w:ind w:hanging="360"/>
            </w:pPr>
            <w:r>
              <w:rPr>
                <w:sz w:val="20"/>
              </w:rPr>
              <w:t xml:space="preserve">Designed &amp; codified key policies – account opening &amp; KYC documentation, compliance, HR &amp; accounting </w:t>
            </w:r>
            <w:r>
              <w:rPr>
                <w:rFonts w:ascii="Arial" w:eastAsia="Arial" w:hAnsi="Arial" w:cs="Arial"/>
                <w:sz w:val="20"/>
              </w:rPr>
              <w:t xml:space="preserve">- </w:t>
            </w:r>
            <w:r>
              <w:rPr>
                <w:rFonts w:ascii="Arial" w:eastAsia="Arial" w:hAnsi="Arial" w:cs="Arial"/>
                <w:sz w:val="20"/>
              </w:rPr>
              <w:tab/>
            </w:r>
            <w:r>
              <w:rPr>
                <w:sz w:val="20"/>
              </w:rPr>
              <w:t xml:space="preserve">Successfully managed the operational administration of the company </w:t>
            </w:r>
          </w:p>
        </w:tc>
      </w:tr>
      <w:tr w:rsidR="005E53D1">
        <w:trPr>
          <w:trHeight w:val="245"/>
        </w:trPr>
        <w:tc>
          <w:tcPr>
            <w:tcW w:w="1440" w:type="dxa"/>
            <w:tcBorders>
              <w:top w:val="nil"/>
              <w:left w:val="nil"/>
              <w:bottom w:val="nil"/>
              <w:right w:val="nil"/>
            </w:tcBorders>
          </w:tcPr>
          <w:p w:rsidR="005E53D1" w:rsidRDefault="003018BB">
            <w:pPr>
              <w:spacing w:after="0"/>
            </w:pPr>
            <w:r>
              <w:rPr>
                <w:sz w:val="20"/>
              </w:rPr>
              <w:t xml:space="preserve">Sept 2009 –  </w:t>
            </w:r>
          </w:p>
        </w:tc>
        <w:tc>
          <w:tcPr>
            <w:tcW w:w="9408" w:type="dxa"/>
            <w:tcBorders>
              <w:top w:val="nil"/>
              <w:left w:val="nil"/>
              <w:bottom w:val="nil"/>
              <w:right w:val="nil"/>
            </w:tcBorders>
          </w:tcPr>
          <w:p w:rsidR="005E53D1" w:rsidRDefault="003018BB">
            <w:pPr>
              <w:spacing w:after="0"/>
            </w:pPr>
            <w:r>
              <w:rPr>
                <w:b/>
                <w:sz w:val="20"/>
              </w:rPr>
              <w:t xml:space="preserve"> Associate Vice President, IIFL Private Wealth, Singapore</w:t>
            </w:r>
            <w:r>
              <w:t xml:space="preserve"> </w:t>
            </w:r>
          </w:p>
        </w:tc>
      </w:tr>
      <w:tr w:rsidR="005E53D1">
        <w:trPr>
          <w:trHeight w:val="974"/>
        </w:trPr>
        <w:tc>
          <w:tcPr>
            <w:tcW w:w="1440" w:type="dxa"/>
            <w:tcBorders>
              <w:top w:val="nil"/>
              <w:left w:val="nil"/>
              <w:bottom w:val="nil"/>
              <w:right w:val="nil"/>
            </w:tcBorders>
          </w:tcPr>
          <w:p w:rsidR="005E53D1" w:rsidRDefault="003018BB">
            <w:pPr>
              <w:spacing w:after="0"/>
            </w:pPr>
            <w:r>
              <w:rPr>
                <w:sz w:val="20"/>
              </w:rPr>
              <w:t xml:space="preserve">Apr 2010  </w:t>
            </w:r>
          </w:p>
        </w:tc>
        <w:tc>
          <w:tcPr>
            <w:tcW w:w="9408" w:type="dxa"/>
            <w:tcBorders>
              <w:top w:val="nil"/>
              <w:left w:val="nil"/>
              <w:bottom w:val="nil"/>
              <w:right w:val="nil"/>
            </w:tcBorders>
          </w:tcPr>
          <w:p w:rsidR="005E53D1" w:rsidRDefault="003018BB">
            <w:pPr>
              <w:spacing w:after="0"/>
            </w:pPr>
            <w:r>
              <w:rPr>
                <w:sz w:val="20"/>
              </w:rPr>
              <w:t>Responsible for Business Development with Wealth Management Institutions &amp; Clients in South East Asia.</w:t>
            </w:r>
            <w:r>
              <w:t xml:space="preserve"> </w:t>
            </w:r>
          </w:p>
          <w:p w:rsidR="005E53D1" w:rsidRDefault="003018BB">
            <w:pPr>
              <w:numPr>
                <w:ilvl w:val="0"/>
                <w:numId w:val="6"/>
              </w:numPr>
              <w:spacing w:after="0"/>
              <w:ind w:hanging="360"/>
            </w:pPr>
            <w:r>
              <w:rPr>
                <w:sz w:val="20"/>
              </w:rPr>
              <w:t xml:space="preserve">Developed ties with various product team heads – Key emphasis being empanelment of IIFL’s Fund. </w:t>
            </w:r>
          </w:p>
          <w:p w:rsidR="005E53D1" w:rsidRDefault="003018BB">
            <w:pPr>
              <w:numPr>
                <w:ilvl w:val="0"/>
                <w:numId w:val="6"/>
              </w:numPr>
              <w:spacing w:after="0"/>
              <w:ind w:hanging="360"/>
            </w:pPr>
            <w:r>
              <w:rPr>
                <w:sz w:val="20"/>
              </w:rPr>
              <w:t>Successfully handled firm &amp; product marketing with rela</w:t>
            </w:r>
            <w:r>
              <w:rPr>
                <w:sz w:val="20"/>
              </w:rPr>
              <w:t xml:space="preserve">tionship managers &amp; product teams at leading private banks in Switzerland &amp; Dubai. </w:t>
            </w:r>
          </w:p>
        </w:tc>
      </w:tr>
      <w:tr w:rsidR="005E53D1">
        <w:trPr>
          <w:trHeight w:val="247"/>
        </w:trPr>
        <w:tc>
          <w:tcPr>
            <w:tcW w:w="1440" w:type="dxa"/>
            <w:tcBorders>
              <w:top w:val="nil"/>
              <w:left w:val="nil"/>
              <w:bottom w:val="nil"/>
              <w:right w:val="nil"/>
            </w:tcBorders>
          </w:tcPr>
          <w:p w:rsidR="005E53D1" w:rsidRDefault="003018BB">
            <w:pPr>
              <w:spacing w:after="0"/>
            </w:pPr>
            <w:r>
              <w:rPr>
                <w:sz w:val="20"/>
              </w:rPr>
              <w:t xml:space="preserve">June 2007 –  </w:t>
            </w:r>
          </w:p>
        </w:tc>
        <w:tc>
          <w:tcPr>
            <w:tcW w:w="9408" w:type="dxa"/>
            <w:tcBorders>
              <w:top w:val="nil"/>
              <w:left w:val="nil"/>
              <w:bottom w:val="nil"/>
              <w:right w:val="nil"/>
            </w:tcBorders>
          </w:tcPr>
          <w:p w:rsidR="005E53D1" w:rsidRDefault="003018BB">
            <w:pPr>
              <w:spacing w:after="0"/>
            </w:pPr>
            <w:r>
              <w:rPr>
                <w:b/>
                <w:sz w:val="20"/>
              </w:rPr>
              <w:t xml:space="preserve"> Relationship Manager (Consumer Banking), Standard Chartered Bank, Singapore</w:t>
            </w:r>
            <w:r>
              <w:rPr>
                <w:sz w:val="20"/>
              </w:rPr>
              <w:t xml:space="preserve"> </w:t>
            </w:r>
            <w:r>
              <w:t xml:space="preserve"> </w:t>
            </w:r>
          </w:p>
        </w:tc>
      </w:tr>
      <w:tr w:rsidR="005E53D1">
        <w:trPr>
          <w:trHeight w:val="1217"/>
        </w:trPr>
        <w:tc>
          <w:tcPr>
            <w:tcW w:w="1440" w:type="dxa"/>
            <w:tcBorders>
              <w:top w:val="nil"/>
              <w:left w:val="nil"/>
              <w:bottom w:val="nil"/>
              <w:right w:val="nil"/>
            </w:tcBorders>
          </w:tcPr>
          <w:p w:rsidR="005E53D1" w:rsidRDefault="003018BB">
            <w:pPr>
              <w:spacing w:after="0"/>
            </w:pPr>
            <w:r>
              <w:rPr>
                <w:sz w:val="20"/>
              </w:rPr>
              <w:t xml:space="preserve">June 2009  </w:t>
            </w:r>
          </w:p>
        </w:tc>
        <w:tc>
          <w:tcPr>
            <w:tcW w:w="9408" w:type="dxa"/>
            <w:tcBorders>
              <w:top w:val="nil"/>
              <w:left w:val="nil"/>
              <w:bottom w:val="nil"/>
              <w:right w:val="nil"/>
            </w:tcBorders>
          </w:tcPr>
          <w:p w:rsidR="005E53D1" w:rsidRDefault="003018BB">
            <w:pPr>
              <w:spacing w:after="0"/>
            </w:pPr>
            <w:r>
              <w:rPr>
                <w:sz w:val="20"/>
              </w:rPr>
              <w:t>Responsible for providing financial advice, maintenance &amp; growth of existing customer base.</w:t>
            </w:r>
            <w:r>
              <w:t xml:space="preserve"> </w:t>
            </w:r>
          </w:p>
          <w:p w:rsidR="005E53D1" w:rsidRDefault="003018BB">
            <w:pPr>
              <w:numPr>
                <w:ilvl w:val="0"/>
                <w:numId w:val="7"/>
              </w:numPr>
              <w:spacing w:after="5" w:line="234" w:lineRule="auto"/>
              <w:ind w:hanging="360"/>
              <w:jc w:val="both"/>
            </w:pPr>
            <w:r>
              <w:rPr>
                <w:sz w:val="20"/>
              </w:rPr>
              <w:t xml:space="preserve">Structured product portfolios for new &amp; existing clients (250 clients, SGD 70 million AUM), based on needs assessment </w:t>
            </w:r>
          </w:p>
          <w:p w:rsidR="005E53D1" w:rsidRDefault="003018BB">
            <w:pPr>
              <w:numPr>
                <w:ilvl w:val="0"/>
                <w:numId w:val="7"/>
              </w:numPr>
              <w:spacing w:after="0"/>
              <w:ind w:hanging="360"/>
              <w:jc w:val="both"/>
            </w:pPr>
            <w:r>
              <w:rPr>
                <w:sz w:val="20"/>
              </w:rPr>
              <w:t>Successfully managed client relationships, r</w:t>
            </w:r>
            <w:r>
              <w:rPr>
                <w:sz w:val="20"/>
              </w:rPr>
              <w:t xml:space="preserve">esulting in increased AUM for existing clients &amp; acquisition of new clients. Consistently achieved or exceeded personal sales target of SGD 180K per quarter. </w:t>
            </w:r>
          </w:p>
        </w:tc>
      </w:tr>
      <w:tr w:rsidR="005E53D1">
        <w:trPr>
          <w:trHeight w:val="247"/>
        </w:trPr>
        <w:tc>
          <w:tcPr>
            <w:tcW w:w="1440" w:type="dxa"/>
            <w:tcBorders>
              <w:top w:val="nil"/>
              <w:left w:val="nil"/>
              <w:bottom w:val="nil"/>
              <w:right w:val="nil"/>
            </w:tcBorders>
          </w:tcPr>
          <w:p w:rsidR="005E53D1" w:rsidRDefault="003018BB">
            <w:pPr>
              <w:spacing w:after="0"/>
            </w:pPr>
            <w:r>
              <w:rPr>
                <w:sz w:val="20"/>
              </w:rPr>
              <w:t xml:space="preserve">Nov 2005 –  </w:t>
            </w:r>
          </w:p>
        </w:tc>
        <w:tc>
          <w:tcPr>
            <w:tcW w:w="9408" w:type="dxa"/>
            <w:tcBorders>
              <w:top w:val="nil"/>
              <w:left w:val="nil"/>
              <w:bottom w:val="nil"/>
              <w:right w:val="nil"/>
            </w:tcBorders>
          </w:tcPr>
          <w:p w:rsidR="005E53D1" w:rsidRDefault="003018BB">
            <w:pPr>
              <w:spacing w:after="0"/>
            </w:pPr>
            <w:r>
              <w:rPr>
                <w:b/>
                <w:sz w:val="20"/>
              </w:rPr>
              <w:t>Associate Banker, Citibank Non-</w:t>
            </w:r>
            <w:r>
              <w:rPr>
                <w:b/>
                <w:sz w:val="20"/>
              </w:rPr>
              <w:t>Resident Indian (NRI) Business, Singapore</w:t>
            </w:r>
            <w:r>
              <w:rPr>
                <w:sz w:val="20"/>
              </w:rPr>
              <w:t xml:space="preserve"> </w:t>
            </w:r>
            <w:r>
              <w:t xml:space="preserve"> </w:t>
            </w:r>
          </w:p>
        </w:tc>
      </w:tr>
      <w:tr w:rsidR="005E53D1">
        <w:trPr>
          <w:trHeight w:val="1226"/>
        </w:trPr>
        <w:tc>
          <w:tcPr>
            <w:tcW w:w="1440" w:type="dxa"/>
            <w:tcBorders>
              <w:top w:val="nil"/>
              <w:left w:val="nil"/>
              <w:bottom w:val="nil"/>
              <w:right w:val="nil"/>
            </w:tcBorders>
          </w:tcPr>
          <w:p w:rsidR="005E53D1" w:rsidRDefault="003018BB">
            <w:pPr>
              <w:spacing w:after="0"/>
            </w:pPr>
            <w:r>
              <w:rPr>
                <w:sz w:val="20"/>
              </w:rPr>
              <w:t xml:space="preserve">June 2007  </w:t>
            </w:r>
          </w:p>
        </w:tc>
        <w:tc>
          <w:tcPr>
            <w:tcW w:w="9408" w:type="dxa"/>
            <w:tcBorders>
              <w:top w:val="nil"/>
              <w:left w:val="nil"/>
              <w:bottom w:val="nil"/>
              <w:right w:val="nil"/>
            </w:tcBorders>
          </w:tcPr>
          <w:p w:rsidR="005E53D1" w:rsidRDefault="003018BB">
            <w:pPr>
              <w:spacing w:after="0"/>
            </w:pPr>
            <w:r>
              <w:rPr>
                <w:sz w:val="20"/>
              </w:rPr>
              <w:t xml:space="preserve">Responsible for management of on-going client servicing &amp; supporting RM’s heading up the Indonesian Segment. </w:t>
            </w:r>
            <w:r>
              <w:t xml:space="preserve"> </w:t>
            </w:r>
          </w:p>
          <w:p w:rsidR="005E53D1" w:rsidRDefault="003018BB">
            <w:pPr>
              <w:numPr>
                <w:ilvl w:val="0"/>
                <w:numId w:val="8"/>
              </w:numPr>
              <w:spacing w:after="0" w:line="239" w:lineRule="auto"/>
              <w:ind w:hanging="360"/>
              <w:jc w:val="both"/>
            </w:pPr>
            <w:r>
              <w:rPr>
                <w:sz w:val="20"/>
              </w:rPr>
              <w:t>Successfully handled the flow of information between middle &amp; back offices, and clients,</w:t>
            </w:r>
            <w:r>
              <w:rPr>
                <w:sz w:val="20"/>
              </w:rPr>
              <w:t xml:space="preserve"> management &amp; relationship managers, to enable timely decision making and risk management </w:t>
            </w:r>
          </w:p>
          <w:p w:rsidR="005E53D1" w:rsidRDefault="003018BB">
            <w:pPr>
              <w:numPr>
                <w:ilvl w:val="0"/>
                <w:numId w:val="8"/>
              </w:numPr>
              <w:spacing w:after="0"/>
              <w:ind w:hanging="360"/>
              <w:jc w:val="both"/>
            </w:pPr>
            <w:r>
              <w:rPr>
                <w:sz w:val="20"/>
              </w:rPr>
              <w:t xml:space="preserve">End-to-end interface for clients in the trades of investment products i.e. mutual funds, bonds and structured notes. In-charge of the order placement for Indonesian </w:t>
            </w:r>
            <w:r>
              <w:rPr>
                <w:sz w:val="20"/>
              </w:rPr>
              <w:t xml:space="preserve">Team and maintained log of Investments/Revenues. </w:t>
            </w:r>
          </w:p>
        </w:tc>
      </w:tr>
    </w:tbl>
    <w:p w:rsidR="005E53D1" w:rsidRDefault="003018BB">
      <w:pPr>
        <w:spacing w:after="0"/>
      </w:pPr>
      <w:r>
        <w:t xml:space="preserve"> </w:t>
      </w:r>
    </w:p>
    <w:p w:rsidR="005E53D1" w:rsidRDefault="003018BB">
      <w:pPr>
        <w:pStyle w:val="Heading1"/>
        <w:ind w:left="-5"/>
      </w:pPr>
      <w:r>
        <w:t>EDUCATION</w:t>
      </w:r>
      <w:r>
        <w:rPr>
          <w:b w:val="0"/>
        </w:rPr>
        <w:t xml:space="preserve"> </w:t>
      </w:r>
    </w:p>
    <w:p w:rsidR="005E53D1" w:rsidRDefault="003018BB">
      <w:pPr>
        <w:tabs>
          <w:tab w:val="center" w:pos="5040"/>
          <w:tab w:val="center" w:pos="5760"/>
          <w:tab w:val="center" w:pos="6480"/>
          <w:tab w:val="center" w:pos="7200"/>
          <w:tab w:val="right" w:pos="10690"/>
        </w:tabs>
        <w:spacing w:after="4" w:line="249" w:lineRule="auto"/>
        <w:ind w:left="-15"/>
      </w:pPr>
      <w:r>
        <w:rPr>
          <w:b/>
          <w:sz w:val="20"/>
        </w:rPr>
        <w:t xml:space="preserve">Certified Anti-Money Laundering Specialist  - CAMS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Examination in March 2017</w:t>
      </w:r>
      <w:r>
        <w:t xml:space="preserve"> </w:t>
      </w:r>
    </w:p>
    <w:p w:rsidR="005E53D1" w:rsidRDefault="003018BB">
      <w:pPr>
        <w:spacing w:after="4" w:line="249" w:lineRule="auto"/>
        <w:ind w:left="-5" w:hanging="10"/>
      </w:pPr>
      <w:r>
        <w:rPr>
          <w:b/>
          <w:sz w:val="20"/>
        </w:rPr>
        <w:t xml:space="preserve">Online FATCA Course - </w:t>
      </w:r>
      <w:r>
        <w:rPr>
          <w:b/>
          <w:sz w:val="20"/>
        </w:rPr>
        <w:t xml:space="preserve">Association of Certified Financial Crime Specialists (ACFCS) </w:t>
      </w:r>
      <w:r>
        <w:rPr>
          <w:b/>
          <w:sz w:val="20"/>
        </w:rPr>
        <w:tab/>
        <w:t xml:space="preserve"> </w:t>
      </w:r>
      <w:r>
        <w:rPr>
          <w:b/>
          <w:sz w:val="20"/>
        </w:rPr>
        <w:tab/>
        <w:t xml:space="preserve"> </w:t>
      </w:r>
      <w:r>
        <w:rPr>
          <w:b/>
          <w:sz w:val="20"/>
        </w:rPr>
        <w:tab/>
        <w:t xml:space="preserve">           Currently Studying</w:t>
      </w:r>
      <w:r>
        <w:t xml:space="preserve"> </w:t>
      </w:r>
      <w:r>
        <w:rPr>
          <w:b/>
          <w:sz w:val="20"/>
        </w:rPr>
        <w:t xml:space="preserve">Certificate in Reinsurance  - </w:t>
      </w:r>
      <w:r>
        <w:rPr>
          <w:sz w:val="20"/>
        </w:rPr>
        <w:t>Singapore College of Insurance</w:t>
      </w: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May 2014</w:t>
      </w:r>
      <w:r>
        <w:t xml:space="preserve"> </w:t>
      </w:r>
    </w:p>
    <w:p w:rsidR="005E53D1" w:rsidRDefault="003018BB">
      <w:pPr>
        <w:tabs>
          <w:tab w:val="center" w:pos="5040"/>
          <w:tab w:val="center" w:pos="5760"/>
          <w:tab w:val="center" w:pos="6480"/>
          <w:tab w:val="center" w:pos="7200"/>
          <w:tab w:val="center" w:pos="7920"/>
          <w:tab w:val="center" w:pos="8640"/>
          <w:tab w:val="right" w:pos="10690"/>
        </w:tabs>
        <w:spacing w:after="4" w:line="249" w:lineRule="auto"/>
        <w:ind w:left="-15"/>
      </w:pPr>
      <w:r>
        <w:rPr>
          <w:b/>
          <w:sz w:val="20"/>
        </w:rPr>
        <w:t xml:space="preserve">FICS Accredited - </w:t>
      </w:r>
      <w:r>
        <w:rPr>
          <w:b/>
          <w:sz w:val="20"/>
        </w:rPr>
        <w:t xml:space="preserve">Specialist Diploma in Compliance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June 2013 </w:t>
      </w:r>
      <w:r>
        <w:t xml:space="preserve"> </w:t>
      </w:r>
    </w:p>
    <w:p w:rsidR="005E53D1" w:rsidRDefault="003018BB">
      <w:pPr>
        <w:spacing w:after="4" w:line="249" w:lineRule="auto"/>
        <w:ind w:left="-5" w:hanging="10"/>
      </w:pPr>
      <w:r>
        <w:rPr>
          <w:sz w:val="20"/>
        </w:rPr>
        <w:t xml:space="preserve">International Compliance &amp; Training Academy Pte Ltd, Singapore </w:t>
      </w:r>
      <w:r>
        <w:t xml:space="preserve"> </w:t>
      </w:r>
    </w:p>
    <w:p w:rsidR="005E53D1" w:rsidRDefault="003018BB">
      <w:pPr>
        <w:spacing w:after="4" w:line="249" w:lineRule="auto"/>
        <w:ind w:left="-5" w:hanging="10"/>
      </w:pPr>
      <w:r>
        <w:rPr>
          <w:sz w:val="20"/>
        </w:rPr>
        <w:t>Module 1 – Merit Pass; Module 2 – Distinction Pass; Module 3 – Distinction Pass; Module 5 – Distinction Pass</w:t>
      </w:r>
      <w:r>
        <w:t xml:space="preserve"> </w:t>
      </w:r>
    </w:p>
    <w:p w:rsidR="005E53D1" w:rsidRDefault="003018BB">
      <w:pPr>
        <w:spacing w:after="4" w:line="249" w:lineRule="auto"/>
        <w:ind w:left="-5" w:hanging="10"/>
      </w:pPr>
      <w:r>
        <w:rPr>
          <w:b/>
          <w:sz w:val="20"/>
        </w:rPr>
        <w:t xml:space="preserve">Certificate </w:t>
      </w:r>
      <w:r>
        <w:rPr>
          <w:b/>
          <w:sz w:val="20"/>
        </w:rPr>
        <w:t xml:space="preserve">in Fund Administration  - </w:t>
      </w:r>
      <w:r>
        <w:rPr>
          <w:sz w:val="20"/>
        </w:rPr>
        <w:t xml:space="preserve">Nanyang Polytechnic, Singapore  </w:t>
      </w:r>
      <w:r>
        <w:rPr>
          <w:sz w:val="20"/>
        </w:rPr>
        <w:tab/>
        <w:t xml:space="preserve"> </w:t>
      </w:r>
      <w:r>
        <w:rPr>
          <w:sz w:val="20"/>
        </w:rPr>
        <w:tab/>
        <w:t xml:space="preserve"> </w:t>
      </w:r>
      <w:r>
        <w:rPr>
          <w:sz w:val="20"/>
        </w:rPr>
        <w:tab/>
      </w:r>
      <w:r>
        <w:rPr>
          <w:b/>
          <w:sz w:val="20"/>
        </w:rPr>
        <w:t xml:space="preserve"> </w:t>
      </w:r>
      <w:r>
        <w:rPr>
          <w:b/>
          <w:sz w:val="20"/>
        </w:rPr>
        <w:tab/>
        <w:t xml:space="preserve"> </w:t>
      </w:r>
      <w:r>
        <w:rPr>
          <w:b/>
          <w:sz w:val="20"/>
        </w:rPr>
        <w:tab/>
        <w:t xml:space="preserve">            Apr 2013 </w:t>
      </w:r>
      <w:r>
        <w:t xml:space="preserve"> </w:t>
      </w:r>
      <w:r>
        <w:rPr>
          <w:b/>
          <w:sz w:val="20"/>
        </w:rPr>
        <w:t xml:space="preserve">Understanding The Financial Advisers Act (Cap 110)  - </w:t>
      </w:r>
      <w:r>
        <w:rPr>
          <w:sz w:val="20"/>
        </w:rPr>
        <w:t xml:space="preserve">Singapore College of Insurance </w:t>
      </w:r>
      <w:r>
        <w:rPr>
          <w:sz w:val="20"/>
        </w:rPr>
        <w:tab/>
        <w:t xml:space="preserve"> </w:t>
      </w:r>
      <w:r>
        <w:rPr>
          <w:sz w:val="20"/>
        </w:rPr>
        <w:tab/>
        <w:t xml:space="preserve"> </w:t>
      </w:r>
      <w:r>
        <w:rPr>
          <w:sz w:val="20"/>
        </w:rPr>
        <w:tab/>
        <w:t xml:space="preserve"> </w:t>
      </w:r>
      <w:r>
        <w:rPr>
          <w:sz w:val="20"/>
        </w:rPr>
        <w:tab/>
        <w:t xml:space="preserve">           </w:t>
      </w:r>
      <w:r>
        <w:rPr>
          <w:b/>
          <w:sz w:val="20"/>
        </w:rPr>
        <w:t xml:space="preserve">Mar 2013 </w:t>
      </w:r>
      <w:r>
        <w:t xml:space="preserve"> </w:t>
      </w:r>
    </w:p>
    <w:p w:rsidR="005E53D1" w:rsidRDefault="003018BB">
      <w:pPr>
        <w:tabs>
          <w:tab w:val="center" w:pos="7920"/>
          <w:tab w:val="center" w:pos="8640"/>
          <w:tab w:val="right" w:pos="10690"/>
        </w:tabs>
        <w:spacing w:after="4" w:line="249" w:lineRule="auto"/>
        <w:ind w:left="-15"/>
      </w:pPr>
      <w:r>
        <w:rPr>
          <w:b/>
          <w:sz w:val="20"/>
        </w:rPr>
        <w:t>International Certificate in AML Awareness - I</w:t>
      </w:r>
      <w:r>
        <w:rPr>
          <w:sz w:val="20"/>
        </w:rPr>
        <w:t>nternat</w:t>
      </w:r>
      <w:r>
        <w:rPr>
          <w:sz w:val="20"/>
        </w:rPr>
        <w:t xml:space="preserve">ional Compliance Association, Singapore  </w:t>
      </w:r>
      <w:r>
        <w:rPr>
          <w:sz w:val="20"/>
        </w:rPr>
        <w:tab/>
        <w:t xml:space="preserve"> </w:t>
      </w:r>
      <w:r>
        <w:rPr>
          <w:sz w:val="20"/>
        </w:rPr>
        <w:tab/>
        <w:t xml:space="preserve"> </w:t>
      </w:r>
      <w:r>
        <w:rPr>
          <w:sz w:val="20"/>
        </w:rPr>
        <w:tab/>
        <w:t xml:space="preserve">             </w:t>
      </w:r>
      <w:r>
        <w:rPr>
          <w:b/>
          <w:sz w:val="20"/>
        </w:rPr>
        <w:t xml:space="preserve">Jan 2013 </w:t>
      </w:r>
      <w:r>
        <w:t xml:space="preserve"> </w:t>
      </w:r>
    </w:p>
    <w:p w:rsidR="005E53D1" w:rsidRDefault="003018BB">
      <w:pPr>
        <w:tabs>
          <w:tab w:val="center" w:pos="6480"/>
          <w:tab w:val="center" w:pos="7200"/>
          <w:tab w:val="center" w:pos="7920"/>
          <w:tab w:val="center" w:pos="8640"/>
          <w:tab w:val="right" w:pos="10690"/>
        </w:tabs>
        <w:spacing w:after="4" w:line="249" w:lineRule="auto"/>
        <w:ind w:left="-15"/>
      </w:pPr>
      <w:r>
        <w:rPr>
          <w:b/>
          <w:sz w:val="20"/>
        </w:rPr>
        <w:t>Capital Markets &amp; Financial Advisory Services (CFMAS) Modules –</w:t>
      </w:r>
      <w:r>
        <w:rPr>
          <w:sz w:val="20"/>
        </w:rPr>
        <w:t xml:space="preserve"> 9A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b/>
          <w:sz w:val="20"/>
        </w:rPr>
        <w:t xml:space="preserve">July 2012 </w:t>
      </w:r>
      <w:r>
        <w:t xml:space="preserve"> </w:t>
      </w:r>
    </w:p>
    <w:p w:rsidR="005E53D1" w:rsidRDefault="003018BB">
      <w:pPr>
        <w:spacing w:after="4" w:line="249" w:lineRule="auto"/>
        <w:ind w:left="-5" w:hanging="10"/>
      </w:pPr>
      <w:r>
        <w:rPr>
          <w:sz w:val="20"/>
        </w:rPr>
        <w:t xml:space="preserve">Module 1; 5; 9; HI </w:t>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b/>
          <w:sz w:val="20"/>
        </w:rPr>
        <w:t>July 2007</w:t>
      </w:r>
      <w:r>
        <w:t xml:space="preserve"> </w:t>
      </w:r>
      <w:r>
        <w:rPr>
          <w:b/>
          <w:sz w:val="20"/>
        </w:rPr>
        <w:t xml:space="preserve">Bachelor of Science in Banking &amp; Finance - </w:t>
      </w:r>
      <w:r>
        <w:rPr>
          <w:sz w:val="20"/>
        </w:rPr>
        <w:t xml:space="preserve">University of London (External Programme), Singapore </w:t>
      </w:r>
      <w:r>
        <w:rPr>
          <w:sz w:val="20"/>
        </w:rPr>
        <w:tab/>
        <w:t xml:space="preserve"> </w:t>
      </w:r>
      <w:r>
        <w:rPr>
          <w:sz w:val="20"/>
        </w:rPr>
        <w:tab/>
        <w:t xml:space="preserve">        </w:t>
      </w:r>
      <w:r>
        <w:rPr>
          <w:b/>
          <w:sz w:val="20"/>
        </w:rPr>
        <w:t xml:space="preserve">2000 - 2006 </w:t>
      </w:r>
      <w:r>
        <w:t xml:space="preserve"> </w:t>
      </w:r>
    </w:p>
    <w:p w:rsidR="005E53D1" w:rsidRDefault="003018BB">
      <w:pPr>
        <w:spacing w:after="4" w:line="249" w:lineRule="auto"/>
        <w:ind w:left="-5" w:hanging="10"/>
      </w:pPr>
      <w:r>
        <w:rPr>
          <w:sz w:val="20"/>
        </w:rPr>
        <w:t>Graduated with Honors; Scored in Principles of Banking, Corporate Finance &amp; Banking Operati</w:t>
      </w:r>
      <w:r>
        <w:rPr>
          <w:sz w:val="20"/>
        </w:rPr>
        <w:t>ons &amp; Risk Analysis</w:t>
      </w:r>
      <w:r>
        <w:t xml:space="preserve"> </w:t>
      </w:r>
    </w:p>
    <w:p w:rsidR="005E53D1" w:rsidRDefault="003018BB">
      <w:pPr>
        <w:tabs>
          <w:tab w:val="center" w:pos="5760"/>
          <w:tab w:val="center" w:pos="6480"/>
          <w:tab w:val="center" w:pos="7200"/>
          <w:tab w:val="center" w:pos="7920"/>
          <w:tab w:val="center" w:pos="8640"/>
          <w:tab w:val="right" w:pos="10690"/>
        </w:tabs>
        <w:spacing w:after="4" w:line="249" w:lineRule="auto"/>
        <w:ind w:left="-15"/>
      </w:pPr>
      <w:r>
        <w:rPr>
          <w:b/>
          <w:sz w:val="20"/>
        </w:rPr>
        <w:lastRenderedPageBreak/>
        <w:t xml:space="preserve">Diploma in Accounting &amp; Finance - </w:t>
      </w:r>
      <w:r>
        <w:rPr>
          <w:sz w:val="20"/>
        </w:rPr>
        <w:t xml:space="preserve">Temasek Polytechnic, Singapore </w:t>
      </w:r>
      <w:r>
        <w:rPr>
          <w:sz w:val="20"/>
        </w:rPr>
        <w:tab/>
        <w:t xml:space="preserve"> </w:t>
      </w:r>
      <w:r>
        <w:rPr>
          <w:sz w:val="20"/>
        </w:rPr>
        <w:tab/>
        <w:t xml:space="preserve"> </w:t>
      </w:r>
      <w:r>
        <w:rPr>
          <w:sz w:val="20"/>
        </w:rPr>
        <w:tab/>
        <w:t xml:space="preserve"> </w:t>
      </w:r>
      <w:r>
        <w:rPr>
          <w:sz w:val="20"/>
        </w:rPr>
        <w:tab/>
      </w:r>
      <w:r>
        <w:rPr>
          <w:b/>
          <w:sz w:val="20"/>
        </w:rPr>
        <w:t xml:space="preserve"> </w:t>
      </w:r>
      <w:r>
        <w:rPr>
          <w:b/>
          <w:sz w:val="20"/>
        </w:rPr>
        <w:tab/>
        <w:t xml:space="preserve"> </w:t>
      </w:r>
      <w:r>
        <w:rPr>
          <w:b/>
          <w:sz w:val="20"/>
        </w:rPr>
        <w:tab/>
        <w:t xml:space="preserve">        1997 - 2000 </w:t>
      </w:r>
      <w:r>
        <w:t xml:space="preserve"> </w:t>
      </w:r>
    </w:p>
    <w:p w:rsidR="005E53D1" w:rsidRDefault="003018BB">
      <w:pPr>
        <w:spacing w:after="0"/>
      </w:pPr>
      <w:r>
        <w:t xml:space="preserve"> </w:t>
      </w:r>
    </w:p>
    <w:p w:rsidR="005E53D1" w:rsidRDefault="003018BB">
      <w:pPr>
        <w:pStyle w:val="Heading1"/>
        <w:ind w:left="-5"/>
      </w:pPr>
      <w:r>
        <w:t>COMPETENCIES &amp; SKILLS</w:t>
      </w:r>
      <w:r>
        <w:rPr>
          <w:b w:val="0"/>
        </w:rPr>
        <w:t xml:space="preserve"> </w:t>
      </w:r>
    </w:p>
    <w:p w:rsidR="005E53D1" w:rsidRDefault="003018BB">
      <w:pPr>
        <w:numPr>
          <w:ilvl w:val="0"/>
          <w:numId w:val="1"/>
        </w:numPr>
        <w:spacing w:after="4" w:line="249" w:lineRule="auto"/>
        <w:ind w:hanging="426"/>
      </w:pPr>
      <w:r>
        <w:rPr>
          <w:sz w:val="20"/>
        </w:rPr>
        <w:t>Communication skills – particularly detailed report writing &amp; the ability to assimilate and present complex info</w:t>
      </w:r>
      <w:r>
        <w:rPr>
          <w:sz w:val="20"/>
        </w:rPr>
        <w:t xml:space="preserve">rmation simple and accurately. Relationship Building with key stakeholders. </w:t>
      </w:r>
    </w:p>
    <w:p w:rsidR="005E53D1" w:rsidRDefault="003018BB">
      <w:pPr>
        <w:numPr>
          <w:ilvl w:val="0"/>
          <w:numId w:val="1"/>
        </w:numPr>
        <w:spacing w:after="4" w:line="249" w:lineRule="auto"/>
        <w:ind w:hanging="426"/>
      </w:pPr>
      <w:r>
        <w:rPr>
          <w:sz w:val="20"/>
        </w:rPr>
        <w:t xml:space="preserve">Stakeholder relationship management and inter-personal skills </w:t>
      </w:r>
    </w:p>
    <w:p w:rsidR="005E53D1" w:rsidRDefault="003018BB">
      <w:pPr>
        <w:numPr>
          <w:ilvl w:val="0"/>
          <w:numId w:val="1"/>
        </w:numPr>
        <w:spacing w:after="4" w:line="249" w:lineRule="auto"/>
        <w:ind w:hanging="426"/>
      </w:pPr>
      <w:r>
        <w:rPr>
          <w:sz w:val="20"/>
        </w:rPr>
        <w:t xml:space="preserve">Technical problem solving abilities </w:t>
      </w:r>
    </w:p>
    <w:p w:rsidR="005E53D1" w:rsidRDefault="003018BB">
      <w:pPr>
        <w:numPr>
          <w:ilvl w:val="0"/>
          <w:numId w:val="1"/>
        </w:numPr>
        <w:spacing w:after="4" w:line="249" w:lineRule="auto"/>
        <w:ind w:hanging="426"/>
      </w:pPr>
      <w:r>
        <w:rPr>
          <w:sz w:val="20"/>
        </w:rPr>
        <w:t xml:space="preserve">Accuracy and attention to detail </w:t>
      </w:r>
    </w:p>
    <w:p w:rsidR="005E53D1" w:rsidRDefault="003018BB">
      <w:pPr>
        <w:numPr>
          <w:ilvl w:val="0"/>
          <w:numId w:val="1"/>
        </w:numPr>
        <w:spacing w:after="765" w:line="249" w:lineRule="auto"/>
        <w:ind w:hanging="426"/>
      </w:pPr>
      <w:r>
        <w:rPr>
          <w:sz w:val="20"/>
        </w:rPr>
        <w:t>Negotiation skills</w:t>
      </w:r>
      <w:r>
        <w:t xml:space="preserve"> </w:t>
      </w:r>
    </w:p>
    <w:p w:rsidR="005E53D1" w:rsidRDefault="003018BB">
      <w:pPr>
        <w:spacing w:after="0"/>
      </w:pPr>
      <w:r>
        <w:t xml:space="preserve"> </w:t>
      </w:r>
    </w:p>
    <w:sectPr w:rsidR="005E53D1">
      <w:pgSz w:w="12240" w:h="15840"/>
      <w:pgMar w:top="296" w:right="832" w:bottom="990" w:left="7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B2E60"/>
    <w:multiLevelType w:val="hybridMultilevel"/>
    <w:tmpl w:val="A9F6C820"/>
    <w:lvl w:ilvl="0" w:tplc="0F44DF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D6AC3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80251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56E64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48BF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5EB3E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6ADD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DEEC0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3A3C5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1A2E48"/>
    <w:multiLevelType w:val="hybridMultilevel"/>
    <w:tmpl w:val="6CE29B62"/>
    <w:lvl w:ilvl="0" w:tplc="7A4E622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AA6B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70FF3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0468C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FA973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A223A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765C3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12246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7648C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EA42AA"/>
    <w:multiLevelType w:val="hybridMultilevel"/>
    <w:tmpl w:val="5F6299F0"/>
    <w:lvl w:ilvl="0" w:tplc="3B3E2C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A6B2F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5E0C2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4432E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88DEF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B8CE2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485A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42C83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E6570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CB1C92"/>
    <w:multiLevelType w:val="hybridMultilevel"/>
    <w:tmpl w:val="71123BBA"/>
    <w:lvl w:ilvl="0" w:tplc="C590B1A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0CD16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DC161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5055C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D030A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6464D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E44B6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D4E64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3C8C2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2544E5"/>
    <w:multiLevelType w:val="hybridMultilevel"/>
    <w:tmpl w:val="B1883DDA"/>
    <w:lvl w:ilvl="0" w:tplc="3678ED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88BC3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98FB1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8C88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A4EE8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8CFD4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10281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D0A14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76708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8684E26"/>
    <w:multiLevelType w:val="hybridMultilevel"/>
    <w:tmpl w:val="9A3ECB12"/>
    <w:lvl w:ilvl="0" w:tplc="0F801D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6A460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3C8FB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D8B18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DAC2B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64395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C257F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72BFA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66C90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DA07D22"/>
    <w:multiLevelType w:val="hybridMultilevel"/>
    <w:tmpl w:val="99CE204C"/>
    <w:lvl w:ilvl="0" w:tplc="72B039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3A816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4298F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CA33A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A44DB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8ECA7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C4FC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76B1F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9C309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7697B1F"/>
    <w:multiLevelType w:val="hybridMultilevel"/>
    <w:tmpl w:val="67C8DAC8"/>
    <w:lvl w:ilvl="0" w:tplc="D01690A0">
      <w:start w:val="1"/>
      <w:numFmt w:val="bullet"/>
      <w:lvlText w:val="●"/>
      <w:lvlJc w:val="left"/>
      <w:pPr>
        <w:ind w:left="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C6460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7ECF2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10DE0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5E55A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EA56F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6846E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42B8D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E4779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6"/>
  </w:num>
  <w:num w:numId="3">
    <w:abstractNumId w:val="1"/>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3D1"/>
    <w:rsid w:val="003018BB"/>
    <w:rsid w:val="005E5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EEBD7-B315-4836-BD5A-91A478A0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Reliance AM_TasneemNasrulla_Compliance Officer</dc:title>
  <dc:subject/>
  <dc:creator>Ann Eitrheim</dc:creator>
  <cp:keywords/>
  <cp:lastModifiedBy>ziad emad</cp:lastModifiedBy>
  <cp:revision>2</cp:revision>
  <dcterms:created xsi:type="dcterms:W3CDTF">2022-02-12T11:26:00Z</dcterms:created>
  <dcterms:modified xsi:type="dcterms:W3CDTF">2022-02-12T11:26:00Z</dcterms:modified>
</cp:coreProperties>
</file>