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2026-10-13T10:30:02.110Z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2026-10-13T10:30:02.110Z; synchronized 2026-10-13T10:30:02.110Z; retrieved 2026-10-13T10:30:02.110Z.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2026-10-13T10:30:02.110Z; synchronized 2026-10-13T10:30:02.110Z; retrieved 2026-10-13T10:30:02.110Z.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2026-10-13T10:30:02.110Z.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301098ed-97c0-4518-87c1-d93053ae4ec6; authorization decision aa57191a-905f-42ef-8087-e0a30f5d6e11.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2026-10-13T10:30:02.110Z; updated 2026-10-13T10:30:02.110Z.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301098ed-97c0-4518-87c1-d93053ae4ec6; authorization decision aa57191a-905f-42ef-8087-e0a30f5d6e11.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2026-10-13T10:30:02.110Z; updated 2026-10-13T10:30:02.110Z.</w:t>
      </w:r>
    </w:p>
    <w:p>
      <w:pPr/>
      <w:r>
        <w:rPr>
          <w:b w:val="0"/>
          <w:i w:val="0"/>
        </w:rPr>
        <w:t>Source federal_legislation; record synthetic-status-4242; version synthetic-status-v1; citation c9fb06ab-6ab8-471f-bf90-0b04b6937bec; authorization decision 90a4fe7e-159e-4afc-800a-4f0674719238.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2026-10-13T10:30:02.110Z; updated 2026-10-13T10:30:02.110Z.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30:02.110Z","inputSha256":"9449dc598f9afcbc6befcb8c8c902a26feb8e8e095e3498b80b19dccd2019742","readsSha256":"ec0f21f78a4697e0c0d585a7ae0db084bf875e8659f3a6161493f09bcdebea9a","parent":{"versionId":"80de1a0d-cb9a-477a-8219-65db4b8ac36e","objectSha256":"f1e8df7fba022a4d9bdcacd1aae870f91d06198ef7d897367aa0725e1f48421d","specSha256":"48fc9eeee83f1ceba98b133681956ca95a74e67fe49b15415debb35946f96d0b","provenanceSha256":"e9d9e4fef9826fe20e28bce43e9e68475cf7759e5d32e8a114966d1a73372751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