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2026-10-13T09:12:27.308Z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Require independent confirmation of the authorization and appropriations basis before seeking a congressional research demonstration.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2026-10-13T09:12:27.308Z; synchronized 2026-10-13T09:12:27.308Z; retrieved 2026-10-13T09:12:27.308Z.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2026-10-13T09:12:27.308Z; synchronized 2026-10-13T09:12:27.308Z; retrieved 2026-10-13T09:12:27.308Z.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2026-10-13T09:12:27.308Z.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de6ecd6a-b86e-43d0-ac70-e4c90612451b; authorization decision ebbc3ba2-5a0e-4a9c-ae96-7ab5d05e9652.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2026-10-13T09:12:27.308Z; updated 2026-10-13T09:12:27.308Z.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de6ecd6a-b86e-43d0-ac70-e4c90612451b; authorization decision ebbc3ba2-5a0e-4a9c-ae96-7ab5d05e9652.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2026-10-13T09:12:27.308Z; updated 2026-10-13T09:12:27.308Z.</w:t>
      </w:r>
    </w:p>
    <w:p>
      <w:pPr/>
      <w:r>
        <w:rPr>
          <w:b w:val="0"/>
          <w:i w:val="0"/>
        </w:rPr>
        <w:t>Source federal_legislation; record synthetic-status-4242; version synthetic-status-v1; citation 45bdda24-a72e-413e-8541-a29afb012859; authorization decision 956c4cb9-3ed1-47dc-8365-3177c7d4e907.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2026-10-13T09:12:27.308Z; updated 2026-10-13T09:12:27.308Z.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09:12:27.308Z","inputSha256":"226c04bfb1bf9426f0c64c8977ee1a233fad322d7ed4644907374825fe29d668","readsSha256":"b9bed8b063c73191bf005cdf8c9a2c9a2135a2bf2dd7206e86da5037fc1112c4","parent":{"versionId":"6d266adb-36dd-4992-b9f2-4fb99b01f62d","objectSha256":"ba11b3f17655f0c3526bf5788f5941a9db4ec3751b595a3a9a30c14feec85d00","specSha256":"fa6f1c452bbf4cf82454a1e56d8a4698f82951a5b56679989fbcaf3c3839e07d","provenanceSha256":"52d5a680408986d097fbd8f636abaf8b32981946902ef6f3a64ff40568f84846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