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2026-10-13T14:18:18.057Z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2026-10-13T14:18:17.057Z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2026-10-13T14:18:17.057Z; sent unknown; created 2026-10-13T14:18:17.057Z.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synthetic-message-v1; UTF-16 characters 2388-2489;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Morgan appears to have promised a revised briefing. This interpretation requires human verification.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{"asOfInclusive":"2026-10-13T14:18:18.057Z","storedCreatedAtEndInclusive":"2026-10-13T14:18:18.057Z","effectiveStartInclusive":null,"missingEffectiveDates":"included"}.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2026-10-13T14:18:18.057Z.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{"asOfInclusive":"2026-10-13T14:18:18.057Z","storedCreatedAtEndInclusive":"2026-10-13T14:18:18.057Z","effectiveStartInclusive":null,"missingEffectiveDates":"included"}.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2026-10-13T14:18:18.057Z.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synthetic-message-v1; authority authoritative; authorization decision 71000000-0000-4000-8000-000000000072.</w:t>
      </w:r>
    </w:p>
    <w:p>
      <w:pPr/>
      <w:r>
        <w:rPr>
          <w:b w:val="0"/>
          <w:i w:val="0"/>
        </w:rPr>
        <w:t>Full body SHA256 faae317d6d7899d0bffa0abbc6c3e42ddb2d1236cf354ef29d53eecb057c783e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2026-10-13T14:18:18.083Z;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18:18.057Z","inputSha256":"d5847ad6afe722fd35129a05b3feec0780aac020835e30814da32a56b4bbdc00","readsSha256":"53ea50e00603919c3e7d4a30c801b2cea8314e621c180cea58c972a83a6cd55d","parent":null,"collection":{"calls":6,"bytes":20387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