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2026-10-13T10:11:01.653Z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2026-10-13T10:11:01.653Z; synchronized 2026-10-13T10:11:01.653Z; retrieved 2026-10-13T10:11:01.653Z.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2026-10-13T10:11:01.653Z; synchronized 2026-10-13T10:11:01.653Z; retrieved 2026-10-13T10:11:01.653Z.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2026-10-13T10:11:01.653Z.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b666f63a-db8b-49da-be7b-a83a43e6f4c5; authorization decision 34d01c5c-d6ce-4d98-bac5-efea8d5af6f3.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2026-10-13T10:11:01.653Z; updated 2026-10-13T10:11:01.653Z.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b666f63a-db8b-49da-be7b-a83a43e6f4c5; authorization decision 34d01c5c-d6ce-4d98-bac5-efea8d5af6f3.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2026-10-13T10:11:01.653Z; updated 2026-10-13T10:11:01.653Z.</w:t>
      </w:r>
    </w:p>
    <w:p>
      <w:pPr/>
      <w:r>
        <w:rPr>
          <w:b w:val="0"/>
          <w:i w:val="0"/>
        </w:rPr>
        <w:t>Source federal_legislation; record synthetic-status-4242; version synthetic-status-v1; citation 718812f7-6d67-472b-b032-472f19c395a0; authorization decision 65384744-093e-4a40-ad95-3106f0fd76dd.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2026-10-13T10:11:01.653Z; updated 2026-10-13T10:11:01.653Z.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11:01.653Z","inputSha256":"dcbd3625845da689f651e73e3ebee940e9af81f9de8670909eae005ced183051","readsSha256":"103ee8f8d7c6e224ea118141c1d8c5d2be7e2edbb80d09a16cb3ec5782979297","parent":{"versionId":"1c274a75-af93-464d-a78c-2fdb4ce6b2b7","objectSha256":"402928a64a53911d9d66a24deee2e0cd75af1b154813ea07ccf1f49c22553b64","specSha256":"01970c4c2029c838fafd5be904910e4f619066c71527c348bcc8320e7edd2eb0","provenanceSha256":"5505b210b79e7c20b986c35048658f3504efd347f300bf9ef6496a467db0c6fd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