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2026-10-13T08:51:52.252Z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2026-10-13T08:51:52.252Z; synchronized 2026-10-13T08:51:52.252Z; retrieved 2026-10-13T08:51:52.252Z.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2026-10-13T08:51:52.252Z; synchronized 2026-10-13T08:51:52.252Z; retrieved 2026-10-13T08:51:52.252Z.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2026-10-13T08:51:52.252Z.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95000024-fbf3-469d-97d5-9e7d330b6517; authorization decision 62a306b7-eb68-43c8-ac3a-b240fc0bb1b6.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2026-10-13T08:51:52.252Z; updated 2026-10-13T08:51:52.252Z.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95000024-fbf3-469d-97d5-9e7d330b6517; authorization decision 62a306b7-eb68-43c8-ac3a-b240fc0bb1b6.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2026-10-13T08:51:52.252Z; updated 2026-10-13T08:51:52.252Z.</w:t>
      </w:r>
    </w:p>
    <w:p>
      <w:pPr/>
      <w:r>
        <w:rPr>
          <w:b w:val="0"/>
          <w:i w:val="0"/>
        </w:rPr>
        <w:t>Source federal_legislation; record synthetic-status-4242; version synthetic-status-v1; citation 0b101d79-9347-4a16-8fb0-2925264d268d; authorization decision 848ef290-822b-4130-8276-d5451936ce2c.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2026-10-13T08:51:52.252Z; updated 2026-10-13T08:51:52.252Z.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08:51:52.252Z","inputSha256":"c5e04400a4f8593290333c037d7c5ed56b4b4700f48c1ea8dca55641fe49bf02","readsSha256":"0fb8786b117e404048d7c148fff713cf26196be75b6628b6f6dc9861bb6972f8","parent":{"versionId":"3c48a239-947e-4252-a3ce-b5762146c46f","objectSha256":"569fe1bb22e5d7ed28c4a58b29c873d86790accbb53d322ca1917f7c9218d10d","specSha256":"94808fe6f594c0f3ab386d7563db9ad64b966ca69e51569412fa4c0fea1cfd5e","provenanceSha256":"74d2fe965e74b441759c8c3dad62e2f4d7ccb0af8cdb16d36030cf36637210ef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