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2026-10-13T08:49:00.335Z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2026-10-13T08:49:00.335Z; synchronized 2026-10-13T08:49:00.335Z; retrieved 2026-10-13T08:49:00.335Z.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2026-10-13T08:49:00.335Z; synchronized 2026-10-13T08:49:00.335Z; retrieved 2026-10-13T08:49:00.335Z.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2026-10-13T08:49:00.335Z.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d21722e7-2505-415a-8d8a-13aa5fe2a0e5; authorization decision 635c2173-74fd-4722-b92d-49ec3e0455a3.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2026-10-13T08:49:00.335Z; updated 2026-10-13T08:49:00.335Z.</w:t>
      </w:r>
    </w:p>
    <w:p>
      <w:pPr/>
      <w:r>
        <w:rPr>
          <w:b w:val="0"/>
          <w:i w:val="0"/>
        </w:rPr>
        <w:t>F2: unverified-claim; unresolved conflicting cited passages</w:t>
      </w:r>
    </w:p>
    <w:p>
      <w:pPr/>
      <w:r>
        <w:rPr>
          <w:b w:val="0"/>
          <w:i w:val="0"/>
        </w:rPr>
        <w:t>Source bill_text; record 119-hr-4242; version synthetic-ih-v1; citation d21722e7-2505-415a-8d8a-13aa5fe2a0e5; authorization decision 635c2173-74fd-4722-b92d-49ec3e0455a3.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2026-10-13T08:49:00.335Z; updated 2026-10-13T08:49:00.335Z.</w:t>
      </w:r>
    </w:p>
    <w:p>
      <w:pPr/>
      <w:r>
        <w:rPr>
          <w:b w:val="0"/>
          <w:i w:val="0"/>
        </w:rPr>
        <w:t>Source federal_legislation; record synthetic-status-4242; version synthetic-status-v1; citation 49b7e79a-ab46-42a8-bc7b-dae113b91097; authorization decision 63002dce-20cc-403e-b375-0bc284dfa3c2.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2026-10-13T08:49:00.335Z; updated 2026-10-13T08:49:00.335Z.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08:49:00.335Z","inputSha256":"a646b840a40b3c9220b8e17a279d16b6e79d11e9ae4a3aa076c0a59f9319ebc5","readsSha256":"2204614d227db3fe6a5649c8abaeeebdeab56c2f9c084a79c5f3ee422f81fcb0","parent":{"versionId":"4c6c6d03-1655-45d2-84a3-d025eef17857","objectSha256":"2ec1ac8b6f49ec45c859e5836003b5b08e40a495fbe6ca3704b7700360e93631","specSha256":"cf38a41458981a24cb2c41e8bcfbec67c8d08448c4bf711406afabdd6f14317f","provenanceSha256":"ec0d52ef455dccf9f433402b853f591b06c995e6978043ec00cde40768a96baf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