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 Greenfield Agent Implementation Plan</w:t>
      </w:r>
    </w:p>
    <w:p>
      <w:pPr>
        <w:keepLines/>
      </w:pPr>
      <w:r>
        <w:rPr>
          <w:b w:val="0"/>
        </w:rPr>
        <w:t>Engineering plan for Capiro | Revised 9 October 2026 | SDK and open source adoption</w:t>
      </w:r>
    </w:p>
    <w:p>
      <w:pPr>
        <w:keepLines/>
      </w:pPr>
      <w:commentRangeStart w:id="0"/>
      <w:r>
        <w:rPr>
          <w:b/>
        </w:rPr>
        <w:t>Build a standalone Meri application by assembling the Claude Agent SDK, AI Elements, official Playwright tooling, established Office libraries, and a durable workflow engine. Keep the agent loop, browser engine, viewers, and file-format engines in their existing components. Write new Capiro connectors, authorization, artifact records, and product integration. Give every active conversation its own execution task; keep Capiro data and Institutional Memory as canonical external sources.</w:t>
      </w:r>
      <w:commentRangeEnd w:id="0"/>
      <w:r>
        <w:rPr>
          <w:rStyle w:val="CommentReference"/>
        </w:rPr>
        <w:commentReference w:id="0"/>
      </w:r>
    </w:p>
    <w:p>
      <w:pPr>
        <w:pStyle w:val="Heading2"/>
      </w:pPr>
      <w:r>
        <w:t>Runtime decision</w:t>
      </w:r>
    </w:p>
    <w:p>
      <w:pPr>
        <w:keepLines/>
      </w:pPr>
      <w:r>
        <w:rPr>
          <w:b w:val="0"/>
        </w:rPr>
        <w:t>Keep Fargate as the initial execution host. Qualify the pinned Claude SDK and CLI binary, Playwright with Chromium, LibreOffice, model proxy, interrupt and resume, and workspace restoration together. Validate Chromium sandbox behavior, writable directories, fonts, memory, and network controls without privileged containers or Docker inside the task. If a platform incompatibility remains, move only execution hosting to ECS on EC2 with a qualified sandbox runtime. Preserve the application and connector contracts. [4, 20, 21]</w:t>
      </w:r>
    </w:p>
    <w:p>
      <w:pPr>
        <w:keepLines/>
      </w:pPr>
      <w:r>
        <w:rPr>
          <w:b w:val="0"/>
        </w:rPr>
        <w:t>Use the self-hosted Claude Agent SDK, not the basic Claude Messages client SDK. It supplies the Claude Code agent loop, file and shell tools, web search, sessions, hooks, MCP, skills, and subagents. The application should call that harness rather than implement another loop. [1]</w:t>
      </w:r>
    </w:p>
    <w:p>
      <w:pPr>
        <w:pStyle w:val="Heading2"/>
      </w:pPr>
      <w:r>
        <w:t>Alternative evaluated</w:t>
      </w:r>
    </w:p>
    <w:p>
      <w:pPr>
        <w:keepLines/>
      </w:pPr>
      <w:r>
        <w:rPr>
          <w:b w:val="0"/>
        </w:rPr>
        <w:t>Anthropic Managed Agents supplies hosted orchestration, durable session state, and tool execution. It remains beta. Its self-hosted mode moves tool execution into our infrastructure but retains Anthropic orchestration and still requires us to operate the sandbox lifecycle. That changes the ownership boundary, so it is an alternative rather than the default for this isolated build. [2, 3]</w:t>
      </w:r>
    </w:p>
    <w:p>
      <w:pPr>
        <w:pStyle w:val="Heading2"/>
      </w:pPr>
      <w:r>
        <w:t>Meaning of greenfield</w:t>
      </w:r>
    </w:p>
    <w:p>
      <w:pPr>
        <w:keepLines/>
      </w:pPr>
      <w:r>
        <w:rPr>
          <w:b w:val="0"/>
        </w:rPr>
        <w:t>Create a new repository, UI, application database, storage, runtime configuration, skill pack, and deployment stack. Import no current Meri or Capiro implementation packages, retrieval adapters, orchestrators, tool executors, or document generators. Direct adoption of third-party SDKs, permissively licensed libraries, viewers, and infrastructure is the default. Existing identities, source records, and governed memory remain external data dependencies accessed through newly written connectors.</w:t>
      </w:r>
    </w:p>
    <w:p>
      <w:pPr>
        <w:keepLines/>
      </w:pPr>
      <w:r>
        <w:rPr>
          <w:b w:val="0"/>
        </w:rPr>
        <w:t>Target a credible demonstration in 2 weeks, an internal pilot in 6 to 8 weeks, and the defined production v1 in 10 to 14 weeks with three senior engineers plus part-time platform and QA support. These estimates include component integration and qualification. They do not promise parity with all 139 current registered Meri capabilities; estimate the selected capability map separately before locking a release date. [30]</w:t>
      </w:r>
    </w:p>
    <w:p>
      <w:pPr>
        <w:pStyle w:val="Heading1"/>
        <w:keepNext/>
        <w:pageBreakBefore/>
        <w:spacing w:before="320"/>
      </w:pPr>
      <w:r>
        <w:t>Component adoption</w:t>
      </w:r>
    </w:p>
    <w:p>
      <w:pPr>
        <w:keepLines/>
      </w:pPr>
      <w:r>
        <w:t>Install and configure existing components before writing a replacement. The table identifies the default implementation and the application work that remains. Pin exact package versions, image digests, repositories, licenses, and qualification evidence during phase 0; do not use floating latest versions in production.</w:t>
      </w:r>
    </w:p>
    <w:tbl>
      <w:tblPr>
        <w:tblW w:type="auto" w:w="0"/>
        <w:jc w:val="center"/>
        <w:tblLayout w:type="fixed"/>
        <w:tblLook w:firstColumn="1" w:firstRow="1" w:lastColumn="0" w:lastRow="0" w:noHBand="0" w:noVBand="1" w:val="04A0"/>
      </w:tblPr>
      <w:tblGrid>
        <w:gridCol w:w="2016"/>
        <w:gridCol w:w="3744"/>
        <w:gridCol w:w="4320"/>
      </w:tblGrid>
      <w:tr>
        <w:trPr>
          <w:tblHeade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before="60" w:after="60" w:line="250" w:lineRule="auto"/>
            </w:pPr>
            <w:r>
              <w:rPr>
                <w:b/>
                <w:sz w:val="21"/>
              </w:rPr>
              <w:t>Capability</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before="60" w:after="60" w:line="250" w:lineRule="auto"/>
            </w:pPr>
            <w:r>
              <w:rPr>
                <w:b/>
                <w:sz w:val="21"/>
              </w:rPr>
              <w:t>Adopt</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before="60" w:after="60" w:line="250" w:lineRule="auto"/>
            </w:pPr>
            <w:r>
              <w:rPr>
                <w:b/>
                <w:sz w:val="21"/>
              </w:rPr>
              <w:t>New integration</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Agent engine</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Claude Agent SDK under Anthropic commercial terms [1]</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Model configuration, gateway tools, limits, and events.</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Interface</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AI Elements and shadcn/ui; AI Elements Apache 2.0 [8, 24]</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Layout, authentication, SDK event adapter, and backing services.</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Browser</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Official Playwright CLI or MCP; Apache 2.0 [20, 21]</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Scoped browser state, credentials, downloads, and optional live viewer.</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Word and slides</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python-docx and PptxGenJS; MIT [15, 16]</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Branded templates, original skills, citations, and QA.</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Spreadsheets</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XlsxWriter BSD 2-Clause and qualified openpyxl MIT [19, 26, 27]</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Supported editing and formula fixtures; separate recalculation.</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Office preview</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LibreOffice MPL 2.0 and PDF.js Apache 2.0 [17, 25, 34]</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Conversion jobs, page and slide viewers, and authorization.</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Durable workflows</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Temporal server and TypeScript SDK; MIT [22, 23]</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Run activities, approvals, schedules, and worker launch.</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Session and objects</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SDK SessionStore and AWS SDK for JavaScript [18, 33]</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Scoped transcript adapter, file checkpoints, and artifact metadata.</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Identity</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Official Clerk backend SDK [32]</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Authoritative membership and Capiro policy integration.</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Quality and traces</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Playwright Test, Promptfoo, SDK and OpenTelemetry [31, 35, 38]</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Capiro fixtures, artifact rubric, and release reports.</w:t>
            </w:r>
          </w:p>
        </w:tc>
      </w:tr>
    </w:tbl>
    <w:p>
      <w:pPr>
        <w:keepLines/>
      </w:pPr>
    </w:p>
    <w:p>
      <w:pPr>
        <w:pStyle w:val="Heading2"/>
      </w:pPr>
      <w:r>
        <w:t>Boundary for custom code</w:t>
      </w:r>
    </w:p>
    <w:p>
      <w:pPr>
        <w:keepLines/>
      </w:pPr>
      <w:r>
        <w:t>Custom code belongs in source policy enforcement, Capiro business commands, artifact metadata and sharing, skill instructions, and the SDK-to-UI adapter. Any new generic planner, context compressor, browser driver, document engine, workflow coordinator, or UI primitive requires a documented gap in the adopted component and a small qualification case demonstrating it. Prefer upstream packages over copied code so upgrades remain practical.</w:t>
      </w:r>
    </w:p>
    <w:p>
      <w:pPr>
        <w:pStyle w:val="Heading1"/>
        <w:keepNext/>
        <w:pageBreakBefore w:val="0"/>
        <w:spacing w:before="320"/>
      </w:pPr>
      <w:r>
        <w:t>Infrastructure and execution</w:t>
      </w:r>
    </w:p>
    <w:p>
      <w:pPr>
        <w:keepLines/>
      </w:pPr>
      <w:r>
        <w:rPr>
          <w:b w:val="0"/>
        </w:rPr>
        <w:t>Use a dedicated AWS stack, preferably a separate account when complete operational separation is required. Give it its own VPC, security groups, ECS cluster, deployment pipeline, secrets, encryption keys, database, buckets, and logs. Permit only narrowly defined connections to Capiro source systems.</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Component</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Responsibility</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Web and control API</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Next.js and React with AI Elements. Authenticate requests, manage conversations and jobs, persist UI events, stream progress, and resolve approvals.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Agent execution tasks</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r>
              <w:t>One isolated Fargate task per active conversation. Run the TypeScript Claude Agent SDK, pinned CLI binary, Playwright, and local file tools. Destroy the task only after verified persistence.</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Trusted broker and connector</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Authorize every source operation. Inject provider credentials outside the agent. Serve scoped tool requests, session persistence, artifact transfers, and approved commands.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Durable storage</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r>
              <w:t>New Postgres for application state and SDK transcripts; S3 for artifacts, previews, uploads, and workspace snapshots. Temporal owns production run orchestration and schedules.</w:t>
            </w:r>
          </w:p>
        </w:tc>
      </w:tr>
      <w:t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pPr>
            <w:r>
              <w:rPr>
                <w:sz w:val="21"/>
              </w:rPr>
              <w:t>Workflow service</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pPr>
            <w:r>
              <w:rPr>
                <w:sz w:val="21"/>
              </w:rPr>
              <w:t>Temporal in the new trusted AWS stack. Keep its service credentials out of agent tasks. Activities call the worker lifecycle API; do not add a second job coordinator.</w:t>
            </w:r>
          </w:p>
        </w:tc>
      </w:tr>
    </w:tbl>
    <w:p>
      <w:pPr>
        <w:keepLines/>
        <w:spacing w:after="20"/>
      </w:pPr>
    </w:p>
    <w:p>
      <w:pPr>
        <w:pStyle w:val="Heading2"/>
      </w:pPr>
      <w:r>
        <w:t>Task isolation</w:t>
      </w:r>
    </w:p>
    <w:p>
      <w:pPr>
        <w:keepLines/>
      </w:pPr>
      <w:r>
        <w:rPr>
          <w:b w:val="0"/>
        </w:rPr>
        <w:t>Assign each task exactly one tenant, actor, conversation, and run capability. Never reuse a task after it has held another conversation. Subagents belong to that same authorized run and use separate output folders. Start with Linux x86_64, non-root execution, a read-only image, and writable task volumes. Fargate does not support privileged containers, custom Docker security options, or tmpfs task parameters; do not depend on them. [4]</w:t>
      </w:r>
    </w:p>
    <w:p>
      <w:pPr>
        <w:keepLines/>
      </w:pPr>
      <w:r>
        <w:rPr>
          <w:b w:val="0"/>
        </w:rPr>
        <w:t>The agent task receives no Capiro database login, cloud administration role, or Anthropic account key. A short-lived capability permits only assigned broker resources. The trusted model proxy injects provider credentials. Enforce all outbound model and browser traffic through the approved egress proxy or broker path with destination policy; proxy environment variables alone do not prevent direct egress. [5]</w:t>
      </w:r>
    </w:p>
    <w:p>
      <w:pPr>
        <w:pStyle w:val="Heading2"/>
      </w:pPr>
      <w:r>
        <w:t>Sizing and latency</w:t>
      </w:r>
    </w:p>
    <w:p>
      <w:pPr>
        <w:keepLines/>
      </w:pPr>
      <w:r>
        <w:rPr>
          <w:b w:val="0"/>
        </w:rPr>
        <w:t>Proposed starting sizes: 1 vCPU and 4 GiB for an ordinary agent task; 2 vCPU and 8 GiB for browser or office conversion work. Measure peak memory, startup time, export latency, and disk consumption before tuning. Keep an active conversation warm for a short idle window, then restore it on demand. An unassigned warm pool may contain only fresh tasks with no tenant data.</w:t>
      </w:r>
    </w:p>
    <w:p>
      <w:pPr>
        <w:keepLines/>
      </w:pPr>
      <w:r>
        <w:rPr>
          <w:b w:val="0"/>
        </w:rPr>
        <w:t>Use task-local disk for working files only. Fargate supplies 20 GiB by default on modern Linux platform versions and can be configured up to 200 GiB. Persist user outputs outside the task. [6]</w:t>
      </w:r>
    </w:p>
    <w:p>
      <w:pPr>
        <w:pStyle w:val="Heading1"/>
        <w:keepNext/>
        <w:pageBreakBefore w:val="0"/>
        <w:spacing w:before="320"/>
      </w:pPr>
      <w:r>
        <w:t>Tenant identity and source access</w:t>
      </w:r>
    </w:p>
    <w:p>
      <w:pPr>
        <w:keepLines/>
      </w:pPr>
      <w:r>
        <w:rPr>
          <w:b w:val="0"/>
        </w:rPr>
        <w:t>Use the official Clerk backend SDK to authenticate requests and resolve the authoritative user and active tenant membership. Integrate existing identities through a new application session layer; do not implement JWT cryptography or trust model-supplied identity. Every run capability binds tenant, user, conversation, permitted actions, expiry, and policy revision. The gateway separately enforces Capiro data policies. [32]</w:t>
      </w:r>
    </w:p>
    <w:p>
      <w:pPr>
        <w:pStyle w:val="Heading2"/>
      </w:pPr>
      <w:r>
        <w:t>New connector service</w:t>
      </w:r>
    </w:p>
    <w:p>
      <w:pPr>
        <w:keepLines/>
      </w:pPr>
      <w:r>
        <w:rPr>
          <w:b w:val="0"/>
        </w:rPr>
        <w:t>Write a new source connector from scratch. Its read principal must be restricted to approved tables or views and must not inherit table-owner privileges. The current Capiro Prisma service explicitly documents an application role that bypasses row-level security; copying its database credentials into the new worker would defeat the desired boundary. [12]</w:t>
      </w:r>
    </w:p>
    <w:p>
      <w:pPr>
        <w:keepLines/>
      </w:pPr>
      <w:r>
        <w:rPr>
          <w:b w:val="0"/>
        </w:rPr>
        <w:t>The connector combines tenant filtering with user ownership, client walls, mailbox grants, record lifecycle, and field restrictions. Where database row-level security exists, validate it under the actual new role. Add explicit server-side checks for policies not represented in database rules. Workers cannot issue raw SQL or connect to the source database.</w:t>
      </w:r>
    </w:p>
    <w:p>
      <w:pPr>
        <w:pStyle w:val="Heading2"/>
      </w:pPr>
      <w:r>
        <w:t>Discover every source before claiming complete access</w:t>
      </w:r>
    </w:p>
    <w:p>
      <w:pPr>
        <w:keepLines/>
      </w:pPr>
      <w:r>
        <w:rPr>
          <w:b w:val="0"/>
        </w:rPr>
        <w:t>Inventory structured tables, documents and object storage, connected services, encrypted fields, embeddings, and graph history. The existing retrieval vocabulary identifies 18 domains, but it is an inventory input rather than an implementation to import. [13]</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Source group</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Required coverage</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Client work</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Clients, contacts, strategies, programs, tasks, recommendations, outreach, and Monday records.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Communications</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Authorized mailboxes, message threads, meetings, notes, attachments, and calendar records.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Federal intelligence</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Bills, hearings, grants, contract opportunities, awards, directories, district relationships, and program elements.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Knowledge and files</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Institutional Memory, knowledge graph history, source documents, client files, and permitted uploaded content.</w:t>
            </w:r>
          </w:p>
        </w:tc>
      </w:tr>
    </w:tbl>
    <w:p>
      <w:pPr>
        <w:keepLines/>
        <w:spacing w:after="20"/>
      </w:pPr>
    </w:p>
    <w:p>
      <w:pPr>
        <w:keepLines/>
      </w:pPr>
      <w:r>
        <w:rPr>
          <w:b w:val="0"/>
        </w:rPr>
        <w:t>Each adapter declares supported exact lookup, search, filters, aggregates, pagination, historical queries, and freshness. Return record IDs, source timestamps, citations, and coverage metadata. Unsupported history, inaccessible encrypted data, unavailable sources, and truncated scans must remain visible. A zero-result bounded search is not proof that no records exist.</w:t>
      </w:r>
    </w:p>
    <w:p>
      <w:pPr>
        <w:pStyle w:val="Heading2"/>
      </w:pPr>
      <w:r>
        <w:t>Commands and source changes</w:t>
      </w:r>
    </w:p>
    <w:p>
      <w:pPr>
        <w:keepLines/>
      </w:pPr>
      <w:r>
        <w:rPr>
          <w:b w:val="0"/>
        </w:rPr>
        <w:t>Implement new command handlers for memory proposals, tasks, and artifact filing, preserving source transaction invariants and audit events. Integration requires dedicated roles, approved views, and private connectivity. Reimplementing every Capiro mutation expands the schedule.</w:t>
      </w:r>
    </w:p>
    <w:p>
      <w:pPr>
        <w:pStyle w:val="Heading1"/>
        <w:keepNext/>
        <w:pageBreakBefore w:val="0"/>
        <w:spacing w:before="320"/>
      </w:pPr>
      <w:r>
        <w:t>Institutional Memory and authorization changes</w:t>
      </w:r>
    </w:p>
    <w:p>
      <w:pPr>
        <w:keepLines/>
      </w:pPr>
      <w:r>
        <w:rPr>
          <w:b w:val="0"/>
        </w:rPr>
        <w:t>Separate three kinds of state: the SDK transcript that supports conversational continuity; working files and temporary task notes; and Capiro Institutional Memory, which carries governed business knowledge. A resumed transcript does not replace a fresh memory search.</w:t>
      </w:r>
    </w:p>
    <w:p>
      <w:pPr>
        <w:pStyle w:val="Heading2"/>
      </w:pPr>
      <w:r>
        <w:t>Memory tools</w:t>
      </w:r>
    </w:p>
    <w:p>
      <w:pPr>
        <w:pStyle w:val="ListBullet"/>
        <w:keepLines/>
      </w:pPr>
      <w:r>
        <w:t>memory.search and memory.read retrieve only records eligible for the actor, tenant, client scope, and lifecycle at the time of the call.</w:t>
      </w:r>
    </w:p>
    <w:p>
      <w:pPr>
        <w:pStyle w:val="ListBullet"/>
        <w:keepLines/>
      </w:pPr>
      <w:r>
        <w:t>memory.propose submits a sourced candidate with scope, owner, evidence, and provenance. It does not directly publish authoritative institutional knowledge.</w:t>
      </w:r>
    </w:p>
    <w:p>
      <w:pPr>
        <w:pStyle w:val="ListBullet"/>
        <w:keepLines/>
      </w:pPr>
      <w:r>
        <w:t>memory.update and review commands preserve the canonical review rules, grants, legal holds, supersession, and audit lifecycle.</w:t>
      </w:r>
    </w:p>
    <w:p>
      <w:pPr>
        <w:pStyle w:val="ListBullet"/>
        <w:keepLines/>
      </w:pPr>
      <w:r>
        <w:t>Conflicting facts and historical records retain their status and validity dates so the agent can distinguish present policy from prior state.</w:t>
      </w:r>
    </w:p>
    <w:p>
      <w:pPr>
        <w:keepLines/>
      </w:pPr>
      <w:r>
        <w:rPr>
          <w:b w:val="0"/>
        </w:rPr>
        <w:t>Capiro memory authorization includes client walls, role checks, ownership, and time-limited grants. A new connector must implement those semantics faithfully rather than reduce them to a tenant ID filter. Use tests against seeded source records to establish equivalence. [14]</w:t>
      </w:r>
    </w:p>
    <w:p>
      <w:pPr>
        <w:pStyle w:val="Heading2"/>
      </w:pPr>
      <w:r>
        <w:t>Local SDK memory</w:t>
      </w:r>
    </w:p>
    <w:p>
      <w:pPr>
        <w:keepLines/>
      </w:pPr>
      <w:r>
        <w:rPr>
          <w:b w:val="0"/>
        </w:rPr>
        <w:t>Use explicit SDK configuration, a dedicated configuration directory, and a dedicated working directory. Disable automatic filesystem memory as a second source of institutional truth. Load a curated skill plugin from an immutable image path; do not discover arbitrary project settings from user uploads. Skills are instruction packages, not a permission boundary. [7]</w:t>
      </w:r>
    </w:p>
    <w:p>
      <w:pPr>
        <w:keepLines/>
      </w:pPr>
      <w:r>
        <w:rPr>
          <w:b w:val="0"/>
        </w:rPr>
        <w:t>Personal preferences can live in the new application database, keyed to tenant and user, with explicit editing and deletion. Tenant brand templates remain scoped data files. Global skill definitions must contain generic instructions rather than client facts or private examples.</w:t>
      </w:r>
    </w:p>
    <w:p>
      <w:pPr>
        <w:pStyle w:val="Heading2"/>
      </w:pPr>
      <w:r>
        <w:t>Revocation affects old context too</w:t>
      </w:r>
    </w:p>
    <w:p>
      <w:pPr>
        <w:keepLines/>
      </w:pPr>
      <w:r>
        <w:rPr>
          <w:b w:val="0"/>
        </w:rPr>
        <w:t>Every connector request checks current authority. In addition, tag conversations, files, citations, and generated artifacts with their contributing security scopes. Losing access to a client or mailbox can invalidate a stored transcript that already contains its content; checking only the next tool request does not remove that content from the model.</w:t>
      </w:r>
    </w:p>
    <w:p>
      <w:pPr>
        <w:keepLines/>
      </w:pPr>
      <w:r>
        <w:rPr>
          <w:b w:val="0"/>
        </w:rPr>
        <w:t>Cancel affected live runs and deny their output publication. Block resumption and viewing of affected old threads or artifacts until the policy permits it. Start a clean conversation using only eligible input; do not restore the old workspace into that task. Define and test how source permission changes reach the gateway, including the maximum revocation propagation time.</w:t>
      </w:r>
    </w:p>
    <w:p>
      <w:pPr>
        <w:pStyle w:val="Heading2"/>
      </w:pPr>
      <w:r>
        <w:t>Sharing</w:t>
      </w:r>
    </w:p>
    <w:p>
      <w:pPr>
        <w:keepLines/>
      </w:pPr>
      <w:r>
        <w:rPr>
          <w:b w:val="0"/>
        </w:rPr>
        <w:t>A generated artifact can combine several restricted sources. Its sharing policy must respect those source scopes, not just the identity of the person who created it. Saving it into a client folder cannot expand access beyond that folder or erase provenance.</w:t>
      </w:r>
    </w:p>
    <w:p>
      <w:pPr>
        <w:pStyle w:val="Heading1"/>
        <w:keepNext/>
        <w:pageBreakBefore w:val="0"/>
        <w:spacing w:before="320"/>
      </w:pPr>
      <w:r>
        <w:t>Agent harness and AI Elements interface</w:t>
      </w:r>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Reuse directly</w:t>
            </w:r>
          </w:p>
        </w:tc>
        <w:tc>
          <w:tcPr>
            <w:tcW w:type="dxa" w:w="68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New application work</w:t>
            </w:r>
          </w:p>
        </w:tc>
      </w:tr>
      <w:tr>
        <w:trPr>
          <w:cantSplit/>
        </w:trP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Claude agent loop and context management</w:t>
            </w:r>
          </w:p>
        </w:tc>
        <w:tc>
          <w:tcPr>
            <w:tcW w:type="dxa" w:w="68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Configure model, tools, instructions, turn limits, cost limits, and run deadlines. Do not add a second orchestration framework.</w:t>
            </w:r>
          </w:p>
        </w:tc>
      </w:tr>
      <w:tr>
        <w:trPr>
          <w:cantSplit/>
        </w:trP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SDK tools, hooks, MCP, and subagents</w:t>
            </w:r>
          </w:p>
        </w:tc>
        <w:tc>
          <w:tcPr>
            <w:tcW w:type="dxa" w:w="68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Register source tools through the broker. Use hooks for audit and early policy checks; enforce authoritative decisions again at the broker.</w:t>
            </w:r>
          </w:p>
        </w:tc>
      </w:tr>
      <w:tr>
        <w:trPr>
          <w:cantSplit/>
        </w:trP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SDK sessions and SessionStore</w:t>
            </w:r>
          </w:p>
        </w:tc>
        <w:tc>
          <w:tcPr>
            <w:tcW w:type="dxa" w:w="68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Integrate the documented persistence interface with the new store. Keep transcript keys tenant and actor scoped.</w:t>
            </w:r>
          </w:p>
        </w:tc>
      </w:tr>
      <w:tr>
        <w:trPr>
          <w:cantSplit/>
        </w:trP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AI Elements chat and agent components</w:t>
            </w:r>
          </w:p>
        </w:tc>
        <w:tc>
          <w:tcPr>
            <w:tcW w:type="dxa" w:w="68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Build the application shell, navigation, authenticated data loading, event adapter, and interaction behavior.</w:t>
            </w:r>
          </w:p>
        </w:tc>
      </w:tr>
      <w:tr>
        <w:trPr>
          <w:cantSplit/>
        </w:trP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AI Elements artifact and preview components</w:t>
            </w:r>
          </w:p>
        </w:tc>
        <w:tc>
          <w:tcPr>
            <w:tcW w:type="dxa" w:w="68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Supply real file generation, content viewers, storage, versioning, download authorization, and editing flows.</w:t>
            </w:r>
          </w:p>
        </w:tc>
      </w:tr>
    </w:tbl>
    <w:p>
      <w:pPr>
        <w:keepLines/>
        <w:spacing w:after="20"/>
      </w:pPr>
    </w:p>
    <w:p>
      <w:pPr>
        <w:pStyle w:val="Heading2"/>
      </w:pPr>
      <w:r>
        <w:t>Interface behavior</w:t>
      </w:r>
    </w:p>
    <w:p>
      <w:pPr>
        <w:keepLines/>
      </w:pPr>
      <w:r>
        <w:rPr>
          <w:b w:val="0"/>
        </w:rPr>
        <w:t>Provide a conversation list, prompt input and attachments, streaming responses, source citations, task progress, tool cards, an artifact panel, and clear queued or running status. Add stop, steer, retry, fork, resume, approval, download, revision, and save-to-client interactions. Show concise task progress and explanations; the UI should not depend on exposing private model reasoning.</w:t>
      </w:r>
    </w:p>
    <w:p>
      <w:pPr>
        <w:keepLines/>
      </w:pPr>
      <w:r>
        <w:rPr>
          <w:b w:val="0"/>
        </w:rPr>
        <w:t>Use AI Elements Conversation, Prompt Input, Attachments, Tool, Plan, Task, Sources, Inline Citation, Confirmation, Artifact, File Tree, Code Block, Terminal, and Web Preview components where applicable. Connect them to actual scoped services. Terminal output is a display of authorized run activity; it does not grant an unrestricted user shell. Add no second model loop through AI SDK. [8, 9]</w:t>
      </w:r>
    </w:p>
    <w:p>
      <w:pPr>
        <w:pStyle w:val="Heading2"/>
      </w:pPr>
      <w:r>
        <w:t>Single harness and one event adapter</w:t>
      </w:r>
    </w:p>
    <w:p>
      <w:pPr>
        <w:keepLines/>
      </w:pPr>
      <w:r>
        <w:rPr>
          <w:b w:val="0"/>
        </w:rPr>
        <w:t>Use the AI SDK UI transport and typed message stream for the frontend. Translate SDK assistant text, tool calls, tool results, errors, sources, artifact updates, and status into those events. Persist sequence numbers for replay after reconnect. Do not use an AI SDK model loop alongside the Claude SDK. The UI message protocol supports SSE, source records, file parts, and typed custom data. [9]</w:t>
      </w:r>
    </w:p>
    <w:p>
      <w:pPr>
        <w:pStyle w:val="Heading2"/>
      </w:pPr>
      <w:r>
        <w:t>Specialist work</w:t>
      </w:r>
    </w:p>
    <w:p>
      <w:pPr>
        <w:keepLines/>
      </w:pPr>
      <w:r>
        <w:rPr>
          <w:b w:val="0"/>
        </w:rPr>
        <w:t>Use SDK-native subagent definitions for research, data analysis, artifact production, and verification. Delegate within the same authorized run and bound parallelism by tenant budget. Use built-in context compaction, tool execution, skills, sessions, and checkpoints instead of implementing replacement subsystems. Verification must inspect evidence or generated bytes, rather than rely on another model agreeing. [1]</w:t>
      </w:r>
    </w:p>
    <w:p>
      <w:pPr>
        <w:pStyle w:val="Heading2"/>
      </w:pPr>
      <w:r>
        <w:t>Approval behavior</w:t>
      </w:r>
    </w:p>
    <w:p>
      <w:pPr>
        <w:keepLines/>
      </w:pPr>
      <w:r>
        <w:rPr>
          <w:b w:val="0"/>
        </w:rPr>
        <w:t>Allow permitted retrieval and local drafting without repeated questions. Source mutations follow the user authorization and source policy. Record concrete proposals, immutable arguments, expiry, and idempotency keys before approval. A hook can intercept calls before SDK permission resolution; canUseTool alone does not see every auto-approved tool. The broker remains the enforcement point for business actions. [10]</w:t>
      </w:r>
    </w:p>
    <w:p>
      <w:pPr>
        <w:pStyle w:val="Heading1"/>
        <w:keepNext/>
        <w:pageBreakBefore w:val="0"/>
        <w:spacing w:before="320"/>
      </w:pPr>
      <w:r>
        <w:t>Playwright browser workflows</w:t>
      </w:r>
    </w:p>
    <w:p>
      <w:pPr>
        <w:keepLines/>
      </w:pPr>
      <w:commentRangeStart w:id="2"/>
      <w:r>
        <w:t>Use official Playwright tooling for browser work and Playwright Test for UI verification. Start with Playwright CLI and its compatible skills through the SDK shell tool. During qualification, select the official MCP server instead if exploratory workflows require persistent page introspection. Ship one initial integration; do not create a browser driver or maintain two parallel browser interfaces. [20, 21, 35]</w:t>
      </w:r>
      <w:commentRangeEnd w:id="2"/>
      <w:r>
        <w:rPr>
          <w:rStyle w:val="CommentReference"/>
        </w:rPr>
        <w:commentReference w:id="2"/>
      </w:r>
    </w:p>
    <w:p>
      <w:pPr>
        <w:pStyle w:val="Heading2"/>
      </w:pPr>
      <w:r>
        <w:t>Browser sessions and access</w:t>
      </w:r>
    </w:p>
    <w:p>
      <w:pPr>
        <w:keepLines/>
      </w:pPr>
      <w:r>
        <w:t>Create one browser session or profile for the authorized conversation. Keep storage state, cookies, download folders, screenshots, and traces scoped to that run; never reuse them across conversations or tenants. Configure credentials only for permitted websites. Public browsing is available first; authenticated connector workflows ship individually after their sign-in and authorization behavior is tested.</w:t>
      </w:r>
    </w:p>
    <w:p>
      <w:pPr>
        <w:keepLines/>
      </w:pPr>
      <w:r>
        <w:t>A browser in Fargate sees its own remote environment. It does not inherit a user desktop browser or local files. A device bridge or browser extension would be separate scope. Playwright origin restrictions are tool options, not a security boundary; enforce network egress and source access at the infrastructure and gateway layers.</w:t>
      </w:r>
    </w:p>
    <w:p>
      <w:pPr>
        <w:pStyle w:val="Heading2"/>
      </w:pPr>
      <w:r>
        <w:t>Reuse browser operations</w:t>
      </w:r>
    </w:p>
    <w:p>
      <w:pPr>
        <w:keepLines/>
      </w:pPr>
      <w:r>
        <w:t>Use existing navigation, page snapshots, clicks, form entry, uploads, downloads, screenshots, and traces. Use Playwright screenshots for HTML artifact review. Route downloaded files through the artifact service with MIME and size checks and source scopes. Save browser receipts with the run so users can understand completed actions.</w:t>
      </w:r>
    </w:p>
    <w:p>
      <w:pPr>
        <w:pStyle w:val="Heading2"/>
      </w:pPr>
      <w:r>
        <w:t>Observation and qualification</w:t>
      </w:r>
    </w:p>
    <w:p>
      <w:pPr>
        <w:keepLines/>
      </w:pPr>
      <w:r>
        <w:t>Adopt the existing Playwright monitoring capability only when a live browser viewer is required; add authenticated UI access and scoped routing rather than writing a screencast engine. Keep takeover outside the initial release until it passes the same policy checks. Browser qualification must cover cancellation, authenticated state, downloads, worker restart, cross-tenant isolation, and access revocation on the selected host.</w:t>
      </w:r>
    </w:p>
    <w:p>
      <w:pPr>
        <w:pStyle w:val="Heading1"/>
        <w:keepNext/>
        <w:pageBreakBefore w:val="0"/>
        <w:spacing w:before="320"/>
      </w:pPr>
      <w:r>
        <w:t>Artifact creation and editing</w:t>
      </w:r>
    </w:p>
    <w:p>
      <w:pPr>
        <w:keepLines/>
      </w:pPr>
      <w:r>
        <w:rPr>
          <w:b w:val="0"/>
        </w:rPr>
        <w:t>Install established authoring, parsing, and rendering libraries in the Fargate worker image. Original skills use those APIs and SDK shell/file tools for iterative work; do not create a new model loop or a bespoke formatting tool for every document operation. Keep a small set of publication and validation tools at the trusted artifact boundary.</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Artifact</w:t>
            </w:r>
          </w:p>
        </w:tc>
        <w:tc>
          <w:tcPr>
            <w:tcW w:type="dxa" w:w="78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Implementation and acceptance</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Word and PDF</w:t>
            </w:r>
          </w:p>
        </w:tc>
        <w:tc>
          <w:tcPr>
            <w:tcW w:type="dxa" w:w="78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t>python-docx for native Word creation and edits; LibreOffice for PDF export; PDF.js for page previews. Verify pagination, tables, headings, and citations. [15, 17, 25]</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Spreadsheets</w:t>
            </w:r>
          </w:p>
        </w:tc>
        <w:tc>
          <w:tcPr>
            <w:tcW w:type="dxa" w:w="78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r>
              <w:t>XlsxWriter for new files, formulas, tables, and charts. Qualify openpyxl for supported existing-workbook edits; use LibreOffice for supported recalculation. Preserve originals and verify cached results and reference totals. [19, 26, 27]</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Presentations</w:t>
            </w:r>
          </w:p>
        </w:tc>
        <w:tc>
          <w:tcPr>
            <w:tcW w:type="dxa" w:w="78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t>PptxGenJS for editable decks, layouts, charts, tables, and notes. Convert with LibreOffice, preview with PDF.js, and inspect every slide for overflow and source labels. [16, 17, 25]</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HTML and code</w:t>
            </w:r>
          </w:p>
        </w:tc>
        <w:tc>
          <w:tcPr>
            <w:tcW w:type="dxa" w:w="78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r>
              <w:t>Use AI Elements code and web previews plus Playwright screenshots. Serve generated HTML on an isolated origin with a restrictive sandbox. Publish source files and reproducible bundles. [8, 20]</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Analysis outputs</w:t>
            </w:r>
          </w:p>
        </w:tc>
        <w:tc>
          <w:tcPr>
            <w:tcW w:type="dxa" w:w="78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t>Use established Python data and plotting libraries, native CSV and ZIP tooling, and notebook formats. Keep inputs and reproducible analysis with outputs when authorized.</w:t>
            </w:r>
          </w:p>
        </w:tc>
      </w:tr>
    </w:tbl>
    <w:p>
      <w:pPr>
        <w:keepLines/>
        <w:spacing w:after="20"/>
      </w:pPr>
    </w:p>
    <w:p>
      <w:pPr>
        <w:keepLines/>
      </w:pPr>
      <w:r>
        <w:rPr>
          <w:b w:val="0"/>
        </w:rPr>
        <w:t>Reuse pypdf for PDF text and metadata, the Office libraries for supported native-file reads, and Tesseract for scanned-image OCR where required. Apply file, page, and processing limits. Reuse extraction engines; implement source-scoped ingestion and citations. Existing workbooks can contain features an editor does not preserve, so qualify supported changes and publish a new copy. [15, 26, 36, 37]</w:t>
      </w:r>
    </w:p>
    <w:p>
      <w:pPr>
        <w:pStyle w:val="Heading2"/>
      </w:pPr>
      <w:r>
        <w:t>Production artifact lifecycle</w:t>
      </w:r>
    </w:p>
    <w:p>
      <w:pPr>
        <w:keepLines/>
      </w:pPr>
      <w:r>
        <w:rPr>
          <w:b w:val="0"/>
        </w:rPr>
        <w:t>Resolve authorized evidence and template files, generate the native output, inspect bytes and calculated values, render previews, review every relevant page or slide, and revise defects. Publish only after required checks pass. Unsupported formulas or conversions must be identified rather than presented as a verified equivalent of Excel.</w:t>
      </w:r>
    </w:p>
    <w:p>
      <w:pPr>
        <w:keepLines/>
      </w:pPr>
      <w:r>
        <w:rPr>
          <w:b w:val="0"/>
        </w:rPr>
        <w:t>Create an immutable artifact version with tenant, owner, conversation, parent version, source scopes, MIME type, checksum, size, generation status, preview status, and citations. Transfer it to the trusted artifact service and S3. An authorized download request produces a short-lived link for that exact object.</w:t>
      </w:r>
    </w:p>
    <w:p>
      <w:pPr>
        <w:keepLines/>
      </w:pPr>
      <w:r>
        <w:rPr>
          <w:b w:val="0"/>
        </w:rPr>
        <w:t>Natural-language revisions operate on the selected version and produce a new version. Preserve the original. Initial editing means agent-driven changes with previews; full in-browser Office editing is a separate editor integration. Filing into Capiro is an explicit command through the new connector.</w:t>
      </w:r>
    </w:p>
    <w:p>
      <w:pPr>
        <w:pStyle w:val="Heading2"/>
      </w:pPr>
      <w:r>
        <w:rPr/>
        <w:t>Skill licensing and optional hosted tools</w:t>
      </w:r>
    </w:p>
    <w:p>
      <w:pPr>
        <w:keepLines/>
      </w:pPr>
      <w:r>
        <w:rPr>
          <w:b w:val="0"/>
        </w:rPr>
        <w:t>Anthropic offers prebuilt document skills through its API; that execution occurs outside the Fargate worker and remains optional. Its published DOCX, XLSX, PPTX, and PDF skill folders are source-available rather than open source, with per-folder restrictions. Do not vendor those implementations into Capiro or assume the Apache license of other example skills covers them. Write original skills around the libraries selected here. [11, 28, 29]</w:t>
      </w:r>
    </w:p>
    <w:p>
      <w:pPr>
        <w:keepLines/>
      </w:pPr>
      <w:r>
        <w:t>Keep a dependency manifest and required license notices for every pinned library and bundled asset, including fonts and templates. Use the upstream packages directly when possible. Qualify spreadsheet formula support, Office conversion fidelity, and artifact previews before advertising those capabilities.</w:t>
      </w:r>
    </w:p>
    <w:p>
      <w:pPr>
        <w:pStyle w:val="Heading1"/>
        <w:keepNext/>
        <w:pageBreakBefore w:val="0"/>
        <w:spacing w:before="320"/>
      </w:pPr>
      <w:r>
        <w:t>Sessions durable jobs and automation</w:t>
      </w:r>
    </w:p>
    <w:p>
      <w:pPr>
        <w:pStyle w:val="Heading2"/>
      </w:pPr>
      <w:r>
        <w:t>Use the SDK persistence contract</w:t>
      </w:r>
    </w:p>
    <w:p>
      <w:pPr>
        <w:keepLines/>
      </w:pPr>
      <w:r>
        <w:rPr>
          <w:b w:val="0"/>
        </w:rPr>
        <w:t>Use the documented SessionStore contract and adapt the official reference implementation to the trusted persistence service. Keep the worker on a scoped broker API. Persist opaque transcript entries, summaries, and subagent keys; deduplicate UUIDs and monitor mirror_error. Mirroring is best effort and does not persist workspace files. Verify the durable transcript checkpoint before terminating a task, and test restoration across hosts. [18]</w:t>
      </w:r>
    </w:p>
    <w:p>
      <w:pPr>
        <w:keepLines/>
      </w:pPr>
      <w:r>
        <w:rPr>
          <w:b w:val="0"/>
        </w:rPr>
        <w:t>Maintain a stable SDK working-directory mapping across restores. A conversation has one active writer lease. Store application-visible events separately from the opaque SDK transcript so the UI does not depend on transcript internals. Snapshot eligible workspace files and restore them from a manifest; reject traversal paths, symlinks outside the workspace, and unauthorized object references.</w:t>
      </w:r>
    </w:p>
    <w:p>
      <w:pPr>
        <w:pStyle w:val="Heading2"/>
      </w:pPr>
      <w:r>
        <w:t>Run state and recovery</w:t>
      </w:r>
    </w:p>
    <w:p>
      <w:pPr>
        <w:keepLines/>
      </w:pPr>
      <w:commentRangeStart w:id="1"/>
      <w:r>
        <w:rPr>
          <w:b w:val="0"/>
        </w:rPr>
        <w:t>Adopt Temporal server and its TypeScript SDK for production run orchestration, retries, durable waiting, cancellation signals, and schedules. Host the service in the new trusted AWS stack to preserve the deployment boundary. Phase 0 includes a production-topology validation spike; deploy and qualify its backups and operational requirements during foundation work. Do not run the service inside untrusted agent tasks or also build the planned SQS lease sweeper and scheduler. [22, 23]</w:t>
      </w:r>
      <w:commentRangeEnd w:id="1"/>
      <w:r>
        <w:rPr>
          <w:rStyle w:val="CommentReference"/>
        </w:rPr>
        <w:commentReference w:id="1"/>
      </w:r>
    </w:p>
    <w:p>
      <w:pPr>
        <w:keepLines/>
      </w:pPr>
      <w:r>
        <w:t>Put nondeterministic SDK execution and external calls in Temporal activities, never in replayed workflow code. Activities launch or resume the scoped Fargate worker, heartbeat progress, and reference verified SDK and workspace checkpoints. Temporal does not serialize an arbitrary running SDK process or preserve its files automatically. Retries must use command idempotency keys and outcome lookup to avoid repeated emails, tasks, filing, or memory changes.</w:t>
      </w:r>
    </w:p>
    <w:p>
      <w:pPr>
        <w:keepLines/>
      </w:pPr>
      <w:r>
        <w:t>Maintain queued, starting, running, waiting for approval, paused, completed, failed, and cancelled UI states as application projections of the workflow. Keep one active SDK writer per conversation; a fencing token prevents a stale worker from publishing. Persist approval proposals in the application database and deliver decisions and steering through Temporal signals. This is product integration around the existing engine, not a separate job platform.</w:t>
      </w:r>
    </w:p>
    <w:p>
      <w:pPr>
        <w:keepLines/>
      </w:pPr>
      <w:r>
        <w:rPr>
          <w:b w:val="0"/>
        </w:rPr>
        <w:t>Use SDK interrupt and resume for conversational continuity. Persist proposal state outside a waiting process so an approval remains visible after a restart. Resume from verified durable state; distinguish interruption, provider error, permission denial, and persistence failure in the UI. Side effects need their own idempotency and outcome lookup even when a transcript resumes correctly.</w:t>
      </w:r>
    </w:p>
    <w:p>
      <w:pPr>
        <w:pStyle w:val="Heading2"/>
      </w:pPr>
      <w:r>
        <w:t>Schedules and triggers</w:t>
      </w:r>
    </w:p>
    <w:p>
      <w:pPr>
        <w:keepLines/>
      </w:pPr>
      <w:r>
        <w:rPr>
          <w:b w:val="0"/>
        </w:rPr>
        <w:t>Use Temporal Schedules for recurring runs and a narrow trigger endpoint for supported source events. Store initiating user, scope, destination, budget, timezone, and retry policy. Recheck membership and grants at each execution rather than retaining an expiring browser token. Disable schedules when authority is revoked. Use SQS or EventBridge only where a specific source transport requires it, not as a second run scheduler.</w:t>
      </w:r>
    </w:p>
    <w:p>
      <w:pPr>
        <w:keepLines/>
      </w:pPr>
      <w:r>
        <w:rPr>
          <w:b w:val="0"/>
        </w:rPr>
        <w:t>Expose schedule creation, inspection, pause, cancellation, and run history in the new UI. Notifications and source mutations follow the task authorization. An unattended run cannot invent recipients or convert a drafting task into a send action.</w:t>
      </w:r>
    </w:p>
    <w:p>
      <w:pPr>
        <w:pStyle w:val="Heading2"/>
      </w:pPr>
      <w:r>
        <w:t>Operating controls</w:t>
      </w:r>
    </w:p>
    <w:p>
      <w:pPr>
        <w:keepLines/>
      </w:pPr>
      <w:r>
        <w:rPr>
          <w:b w:val="0"/>
        </w:rPr>
        <w:t>Use SDK turn and usage controls and OpenTelemetry integration together with gateway-enforced user and tenant budgets, concurrency, wall-clock deadlines, tool timeouts, and output limits. Reuse OpenTelemetry exporters rather than inventing a tracing pipeline. Apply retention and deletion to transcripts, UI events, uploads, browser state, previews, and artifacts together. Redact credentials from operational logs. [1, 38]</w:t>
      </w:r>
    </w:p>
    <w:p>
      <w:pPr>
        <w:keepLines/>
      </w:pPr>
      <w:r>
        <w:rPr>
          <w:b w:val="0"/>
        </w:rPr>
        <w:t>Monthly cost includes application services, agent task-hours, the database, storage, networking, logs, and model tokens. Benchmark a representative set of short questions, research runs, office exports, and parallel tasks before committing to spend targets. A small infrastructure bill does not bound a long agent run; enforce budgets in the broker and scheduler.</w:t>
      </w:r>
    </w:p>
    <w:p>
      <w:pPr>
        <w:pStyle w:val="Heading1"/>
        <w:keepNext/>
        <w:pageBreakBefore w:val="0"/>
        <w:spacing w:before="320"/>
      </w:pPr>
      <w:r>
        <w:t>Delivery phases and staffing</w:t>
      </w:r>
    </w:p>
    <w:p>
      <w:pPr>
        <w:keepLines/>
      </w:pPr>
      <w:r>
        <w:rPr>
          <w:b w:val="0"/>
        </w:rPr>
        <w:t>Recommended team: one senior engineer for UI and application state, one for the agent runtime and infrastructure, and one for source data and authorization. Add part-time platform review and QA. All dates below are estimates; phases overlap once the identity, event, and tool contracts are stable.</w:t>
      </w:r>
    </w:p>
    <w:tbl>
      <w:tblPr>
        <w:tblW w:type="auto" w:w="0"/>
        <w:jc w:val="center"/>
        <w:tblLayout w:type="fixed"/>
        <w:tblLook w:firstColumn="1" w:firstRow="1" w:lastColumn="0" w:lastRow="0" w:noHBand="0" w:noVBand="1" w:val="04A0"/>
      </w:tblPr>
      <w:tblGrid>
        <w:gridCol w:w="2016"/>
        <w:gridCol w:w="1872"/>
        <w:gridCol w:w="6192"/>
      </w:tblGrid>
      <w:tr>
        <w:trPr>
          <w:tblHeade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Phase</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Target window</w:t>
            </w:r>
          </w:p>
        </w:tc>
        <w:tc>
          <w:tcPr>
            <w:tcW w:type="dxa" w:w="61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Reviewable result</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0 Qualification</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Days 1 to 2</w:t>
            </w:r>
          </w:p>
        </w:tc>
        <w:tc>
          <w:tcPr>
            <w:tcW w:type="dxa" w:w="61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t>Pin the component manifest. Qualify SDK, model proxy, Playwright and Chromium, Office creation and rendering, interrupt and restore on Fargate. Run a Temporal topology spike and choose the execution host.</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1 Foundation</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Weeks 1 to 2</w:t>
            </w:r>
          </w:p>
        </w:tc>
        <w:tc>
          <w:tcPr>
            <w:tcW w:type="dxa" w:w="61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r>
              <w:t>New stack; AI Elements components wired to SDK events; scoped workers; uploads and downloads; SessionStore restore; initial Playwright workflow and native rendered brief.</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2 Core data and memory</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Weeks 2 to 5</w:t>
            </w:r>
          </w:p>
        </w:tc>
        <w:tc>
          <w:tcPr>
            <w:tcW w:type="dxa" w:w="61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t>New source gateway and policy fixtures; clients, communications, documents, and governed memory. Complete source and current-capability inventories; implement selected tools.</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3 Artifacts and broad data</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Weeks 4 to 8</w:t>
            </w:r>
          </w:p>
        </w:tc>
        <w:tc>
          <w:tcPr>
            <w:tcW w:type="dxa" w:w="61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r>
              <w:t>Adopt Office authoring, editing, conversion, and preview libraries; original skills and templates; artifact versions and validation; adapters for every agreed source domain.</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4 Workflows and pilot</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Weeks 6 to 10</w:t>
            </w:r>
          </w:p>
        </w:tc>
        <w:tc>
          <w:tcPr>
            <w:tcW w:type="dxa" w:w="61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r>
              <w:t>Temporal activities, signals and schedules; SDK specialists; qualified browser workflows; source commands and durable approvals; internal pilot and capability fixtures.</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5 Production release</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Weeks 10 to 14</w:t>
            </w:r>
          </w:p>
        </w:tc>
        <w:tc>
          <w:tcPr>
            <w:tcW w:type="dxa" w:w="61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r>
              <w:t>Promptfoo benchmarks, Playwright UI and visual checks, isolation and recovery tests, load and budget gates; rollback and runbooks; production v1.</w:t>
            </w:r>
          </w:p>
        </w:tc>
      </w:tr>
    </w:tbl>
    <w:p>
      <w:pPr>
        <w:keepLines/>
        <w:spacing w:after="20"/>
      </w:pPr>
    </w:p>
    <w:p>
      <w:pPr>
        <w:pStyle w:val="Heading2"/>
      </w:pPr>
      <w:r>
        <w:t>Milestone examples</w:t>
      </w:r>
    </w:p>
    <w:p>
      <w:pPr>
        <w:keepLines/>
      </w:pPr>
      <w:r>
        <w:rPr>
          <w:b w:val="0"/>
        </w:rPr>
        <w:t>The demonstration should research authorized client context and generate one downloadable, rendered brief. The pilot should prepare a meeting brief from memory and communications, create an editable deck and spreadsheet from source evidence, revise them, resume after worker loss, and file them under the correct client after authorization.</w:t>
      </w:r>
    </w:p>
    <w:p>
      <w:pPr>
        <w:keepLines/>
      </w:pPr>
      <w:r>
        <w:rPr>
          <w:b w:val="0"/>
        </w:rPr>
        <w:t>Production requires proven coverage and permission behavior for the full agreed data inventory. Mark unsupported source operations explicitly and close those gaps before representing the agent as having complete access. Adding many data domains is likely to dominate effort once the SDK integration is working.</w:t>
      </w:r>
    </w:p>
    <w:p>
      <w:pPr>
        <w:pStyle w:val="Heading2"/>
      </w:pPr>
      <w:r>
        <w:t>Scope and schedule pressure</w:t>
      </w:r>
    </w:p>
    <w:p>
      <w:pPr>
        <w:keepLines/>
      </w:pPr>
      <w:r>
        <w:rPr>
          <w:b w:val="0"/>
        </w:rPr>
        <w:t>Two engineers should plan roughly 14 to 20 weeks for the broad defined v1. Component adoption reduces engine-building work but does not remove source policy, integration, and quality work. Full parity with all 139 current registered capabilities, complete Office WYSIWYG editing, a user-device bridge, or many authenticated browser integrations requires a separate estimate. Keep current Meri running while the isolated build is qualified.</w:t>
      </w:r>
    </w:p>
    <w:p>
      <w:pPr>
        <w:pStyle w:val="Heading1"/>
        <w:keepNext/>
        <w:pageBreakBefore w:val="0"/>
        <w:spacing w:before="320"/>
      </w:pPr>
      <w:r>
        <w:t>Capiro capability parity</w:t>
      </w:r>
    </w:p>
    <w:p>
      <w:pPr>
        <w:keepLines/>
      </w:pPr>
      <w:r>
        <w:t>The current code registers 139 capabilities. Its 18 retrieval domains describe data coverage, not every business workflow. Build a capability-by-capability map from the latest registry before locking v1 scope. Record selected, deferred, or out of scope for each capability; a selected capability must have a new tool or workflow, policy contract, fixture, and owner. Use current code as a behavior reference only. [30]</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before="60" w:after="60" w:line="250" w:lineRule="auto"/>
            </w:pPr>
            <w:r>
              <w:rPr>
                <w:b/>
                <w:sz w:val="21"/>
              </w:rPr>
              <w:t>Capability group</w:t>
            </w:r>
          </w:p>
        </w:tc>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before="60" w:after="60" w:line="250" w:lineRule="auto"/>
            </w:pPr>
            <w:r>
              <w:rPr>
                <w:b/>
                <w:sz w:val="21"/>
              </w:rPr>
              <w:t>Required inventory</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Data and memory</w:t>
            </w:r>
          </w:p>
        </w:tc>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Exact and semantic retrieval, history, graph queries, governed memory proposals, corrections, review, and lifecycle.</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Government intelligence</w:t>
            </w:r>
          </w:p>
        </w:tc>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Legislative and regulatory analysis, federal and state funding, defense programs, awards and opportunities, district and office intelligence.</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Client work</w:t>
            </w:r>
          </w:p>
        </w:tc>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Client context, meetings, briefs, mail workflows, tasks, strategies, BizDev, and Research Portfolio operations.</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Deliverables</w:t>
            </w:r>
          </w:p>
        </w:tc>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before="60" w:after="60" w:line="250" w:lineRule="auto"/>
            </w:pPr>
            <w:r>
              <w:rPr>
                <w:b w:val="0"/>
                <w:sz w:val="21"/>
              </w:rPr>
              <w:t>Office generation, analysis charts, document revisions, versions, approvals, and authorized client filing.</w:t>
            </w:r>
          </w:p>
        </w:tc>
      </w:tr>
      <w:tr>
        <w:trPr>
          <w:cantSplit/>
        </w:trPr>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Agent product</w:t>
            </w:r>
          </w:p>
        </w:tc>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before="60" w:after="60" w:line="250" w:lineRule="auto"/>
            </w:pPr>
            <w:r>
              <w:rPr>
                <w:b w:val="0"/>
                <w:sz w:val="21"/>
              </w:rPr>
              <w:t>Research steering, background runs, schedules, skills, integrations, history, and responsive UI behavior.</w:t>
            </w:r>
          </w:p>
        </w:tc>
      </w:tr>
    </w:tbl>
    <w:p>
      <w:pPr>
        <w:keepLines/>
      </w:pPr>
    </w:p>
    <w:p>
      <w:pPr>
        <w:pStyle w:val="Heading2"/>
      </w:pPr>
      <w:r>
        <w:t>Defined v1 and deferred capability handling</w:t>
      </w:r>
    </w:p>
    <w:p>
      <w:pPr>
        <w:keepLines/>
      </w:pPr>
      <w:r>
        <w:t>Defined v1 includes the SDK work environment, the agreed authorized data inventory and canonical memory, native artifacts and revisions, Playwright browsing, recovery and schedules, and selected source commands. The initial command set remains memory proposals, tasks, and artifact filing unless the capability map explicitly adds others. Every deferred capability must be visible in release notes; data availability alone does not establish action or workflow parity.</w:t>
      </w:r>
    </w:p>
    <w:p>
      <w:pPr>
        <w:pStyle w:val="Heading2"/>
      </w:pPr>
      <w:r>
        <w:t>Reuse record for each subsystem</w:t>
      </w:r>
    </w:p>
    <w:p>
      <w:pPr>
        <w:keepLines/>
      </w:pPr>
      <w:r>
        <w:t>Maintain one adoption record with upstream project, pinned version or digest, license and notices, integration boundary, qualification results, and any deliberate custom replacement. Require an observed component limitation before creating a replacement. Most generic engines are reusable; do not equate that with a percentage of production engineering already completed.</w:t>
      </w:r>
    </w:p>
    <w:p>
      <w:pPr>
        <w:pStyle w:val="Heading1"/>
        <w:keepNext/>
        <w:pageBreakBefore w:val="0"/>
        <w:spacing w:before="320"/>
      </w:pPr>
      <w:r>
        <w:t>Quality gates and release criteria</w:t>
      </w:r>
    </w:p>
    <w:p>
      <w:pPr>
        <w:keepLines/>
      </w:pPr>
      <w:r>
        <w:rPr>
          <w:b w:val="0"/>
        </w:rPr>
        <w:t>These are proposed production acceptance targets. Build a benchmark of at least 60 real Capiro tasks with expected evidence, permissions, output formats, and success criteria. Require at least 90 percent task completion and 95 percent correctness for checked factual claims. Grade results and usable files, not conversational fluency. Add cases when pilot users expose a failure.</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Gate</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DF4"/>
          </w:tcPr>
          <w:p>
            <w:pPr>
              <w:spacing w:after="60" w:before="60"/>
            </w:pPr>
            <w:r>
              <w:rPr>
                <w:b/>
                <w:sz w:val="21"/>
              </w:rPr>
              <w:t>Evidence required before release</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Tenant and user isolation</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Zero unauthorized rows, citations, transcripts, or files across at least 100 adversarial cases spanning multiple tenants. Include guessed IDs, object links, session keys, and forged tool arguments.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Within-tenant permissions</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100 percent pass for client walls, mailbox ownership, private memory, expired grants, and role changes. Revocation must block new access and invalidate affected live or resumed context within the agreed propagation bound.</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Source coverage</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100 percent of the agreed source inventory has an adapter and a passing authorized-read test. Counts and aggregates match fixtures; every result declares freshness and completeness limits. All citation targets must resolve to authorized evidence.</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Artifact quality</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100 percent of benchmark files open in their target format; all reference totals and supported formulas are correct. At least 95 percent pass a human quality rubric. No critical clipping or corruption; revisions preserve originals.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Durability and side effects</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100 percent pass the restart and retry suite. Recover a resumable run within 2 minutes on healthy infrastructure. Zero duplicate source mutations in repeated-delivery and worker-loss tests.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Performance and budget</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6F7F9"/>
          </w:tcPr>
          <w:p>
            <w:pPr>
              <w:spacing w:after="60" w:before="60"/>
            </w:pPr>
            <w:r>
              <w:rPr>
                <w:b w:val="0"/>
                <w:sz w:val="21"/>
              </w:rPr>
              <w:t>At 10 concurrent pilot runs, p95 UI acknowledgement within 2 seconds and p95 fresh task readiness within 90 seconds. Every run has measured usage; enforced tenant budgets and deadlines pass boundary tests.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Complete UI behavior</w:t>
            </w:r>
          </w:p>
        </w:tc>
        <w:tc>
          <w:tcPr>
            <w:tcW w:type="dxa" w:w="77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before="60"/>
            </w:pPr>
            <w:r>
              <w:rPr>
                <w:b w:val="0"/>
                <w:sz w:val="21"/>
              </w:rPr>
              <w:t>100 percent pass end-to-end tests for every visible control: stop, steer, fork, retry, approval, citation, upload, preview, revision, download, filing, and schedules.</w:t>
            </w:r>
          </w:p>
        </w:tc>
      </w:tr>
    </w:tbl>
    <w:p>
      <w:pPr>
        <w:keepLines/>
        <w:spacing w:after="20"/>
      </w:pPr>
    </w:p>
    <w:p>
      <w:pPr>
        <w:pStyle w:val="Heading2"/>
      </w:pPr>
      <w:r>
        <w:t>Additional adoption and browser acceptance</w:t>
      </w:r>
    </w:p>
    <w:p>
      <w:pPr>
        <w:keepLines/>
      </w:pPr>
      <w:r>
        <w:t>Use Promptfoo for the existing task, grounding, and adversarial benchmark and Playwright Test for every visible UI control, screenshots, and browser scenarios. The fixtures and grading rubric remain Capiro-specific. Keep all quantitative targets above unchanged. [31, 35]</w:t>
      </w:r>
    </w:p>
    <w:p>
      <w:pPr>
        <w:pStyle w:val="ListBullet"/>
        <w:keepLines/>
      </w:pPr>
      <w:r>
        <w:t>Every generic subsystem has an adopted component and pinned dependency record; every bespoke replacement has a documented failing qualification case.</w:t>
      </w:r>
    </w:p>
    <w:p>
      <w:pPr>
        <w:pStyle w:val="ListBullet"/>
        <w:keepLines/>
      </w:pPr>
      <w:r>
        <w:t>Every current capability selected for v1 maps to a new implementation and passes its end-to-end policy and behavior fixture.</w:t>
      </w:r>
    </w:p>
    <w:p>
      <w:pPr>
        <w:pStyle w:val="ListBullet"/>
        <w:keepLines/>
      </w:pPr>
      <w:r>
        <w:t>All agreed Playwright scenarios pass authentication, cancellation, upload and download, restart, cross-tenant isolation, and revocation tests on the selected host.</w:t>
      </w:r>
    </w:p>
    <w:p>
      <w:pPr>
        <w:pStyle w:val="ListBullet"/>
        <w:keepLines/>
      </w:pPr>
      <w:r>
        <w:t>A worker termination and approval-wait restart restore both SDK state and eligible files; duplicated deliveries produce zero duplicated mutations.</w:t>
      </w:r>
    </w:p>
    <w:p>
      <w:pPr>
        <w:pStyle w:val="Heading2"/>
      </w:pPr>
      <w:r>
        <w:t>Qualification triggers</w:t>
      </w:r>
    </w:p>
    <w:p>
      <w:pPr>
        <w:keepLines/>
      </w:pPr>
      <w:r>
        <w:rPr>
          <w:b w:val="0"/>
        </w:rPr>
        <w:t>Keep Fargate if the pinned image can execute the required tools, enforce the intended network boundary, persist and restore work, and meet acceptable startup and memory limits. Move only the worker host if a real platform incompatibility remains. The alternative host must pass the same isolation tests; switching to EC2 without configuring a sandbox is not a completed fix.</w:t>
      </w:r>
    </w:p>
    <w:p>
      <w:pPr>
        <w:pStyle w:val="Heading2"/>
      </w:pPr>
      <w:r>
        <w:t>Deployment</w:t>
      </w:r>
    </w:p>
    <w:p>
      <w:pPr>
        <w:keepLines/>
      </w:pPr>
      <w:r>
        <w:rPr>
          <w:b w:val="0"/>
        </w:rPr>
        <w:t>Release first to an internal allowlist. Require pinned images and SDK configuration, reversible migrations, health checks, rollback, and operational runbooks. Ship permission fixes independently from prompts.</w:t>
      </w:r>
    </w:p>
    <w:p>
      <w:pPr>
        <w:pStyle w:val="Heading1"/>
        <w:keepNext/>
        <w:pageBreakBefore w:val="0"/>
        <w:spacing w:before="320"/>
      </w:pPr>
      <w:r>
        <w:t>Repository contracts and first sprint</w:t>
      </w:r>
    </w:p>
    <w:p>
      <w:pPr>
        <w:pStyle w:val="Heading2"/>
      </w:pPr>
      <w:r>
        <w:t>Repository structure</w:t>
      </w:r>
    </w:p>
    <w:p>
      <w:pPr>
        <w:pStyle w:val="ListBullet"/>
        <w:keepLines/>
      </w:pPr>
      <w:r>
        <w:t>apps/web: Next.js interface, AI Elements components, authentication integration, and user controls.</w:t>
      </w:r>
    </w:p>
    <w:p>
      <w:pPr>
        <w:pStyle w:val="ListBullet"/>
        <w:keepLines/>
      </w:pPr>
      <w:r>
        <w:rPr/>
        <w:t>apps/control: conversations, UI events, approvals, Temporal workflow and schedule integration, and worker lifecycle. Workflow code delegates nondeterministic execution to activities.</w:t>
      </w:r>
    </w:p>
    <w:p>
      <w:pPr>
        <w:pStyle w:val="ListBullet"/>
        <w:keepLines/>
      </w:pPr>
      <w:r>
        <w:rPr/>
        <w:t>apps/worker: Claude Agent SDK entry point, one event adapter, task-local workspace, pinned Playwright and Office tools, and original skill plugin loading.</w:t>
      </w:r>
    </w:p>
    <w:p>
      <w:pPr>
        <w:pStyle w:val="ListBullet"/>
        <w:keepLines/>
      </w:pPr>
      <w:r>
        <w:t>apps/gateway: source adapters, current authorization, command validation, model proxy, and scoped storage access.</w:t>
      </w:r>
    </w:p>
    <w:p>
      <w:pPr>
        <w:pStyle w:val="ListBullet"/>
        <w:keepLines/>
      </w:pPr>
      <w:r>
        <w:t>packages/contracts: tool schemas, source evidence, UI events, and application types. packages/skills: original, versioned skill plugin.</w:t>
      </w:r>
    </w:p>
    <w:p>
      <w:pPr>
        <w:pStyle w:val="ListBullet"/>
        <w:keepLines/>
      </w:pPr>
      <w:r>
        <w:rPr/>
        <w:t>infra: independent AWS stack, pinned images, and Temporal deployment. evals: Promptfoo cases, Playwright UI and visual tests, source policies, artifacts, and recovery fixtures.</w:t>
      </w:r>
    </w:p>
    <w:p>
      <w:pPr>
        <w:pStyle w:val="Heading2"/>
      </w:pPr>
      <w:r>
        <w:t>Core records</w:t>
      </w:r>
    </w:p>
    <w:p>
      <w:pPr>
        <w:keepLines/>
      </w:pPr>
      <w:r>
        <w:rPr>
          <w:b w:val="0"/>
        </w:rPr>
        <w:t>Define Conversation, Run, UIEvent, ApprovalProposal, Artifact, ArtifactVersion, WorkspaceManifest, ScheduleProjection, ToolAudit, and UsageLedger. Temporal owns workflow history, retries, and schedules; application records are policy and UI projections. A minimal conversation writer lock or fencing record protects SDK exclusivity. Store SDK transcripts through SessionStore without interpreting its opaque payloads. Tenant identity and private scopes remain enforced in the new database and authenticated services.</w:t>
      </w:r>
    </w:p>
    <w:p>
      <w:pPr>
        <w:pStyle w:val="Heading2"/>
      </w:pPr>
      <w:r>
        <w:t>External contracts</w:t>
      </w:r>
    </w:p>
    <w:p>
      <w:pPr>
        <w:keepLines/>
      </w:pPr>
      <w:r>
        <w:rPr>
          <w:b w:val="0"/>
        </w:rPr>
        <w:t>A tool result returns data, source identifiers, source timestamps, citation targets, security scopes, coverage, and continuation cursors. A command accepts a server-bound actor capability, typed arguments, an idempotency key, and required approval reference. A published artifact references its verified bytes and contributing source scopes. These are new contracts, independently versioned from Capiro internal agent types.</w:t>
      </w:r>
    </w:p>
    <w:p>
      <w:pPr>
        <w:keepLines/>
      </w:pPr>
      <w:r>
        <w:rPr>
          <w:b w:val="0"/>
        </w:rPr>
        <w:t>Expose application endpoints for conversations, message submission, event streaming, cancellation, steering, proposals and approvals, artifacts and versions, uploads and downloads, and schedules. Choose exact routes during implementation. Separate browser sessions from worker capabilities and source-provider credentials.</w:t>
      </w:r>
    </w:p>
    <w:p>
      <w:pPr>
        <w:pStyle w:val="Heading2"/>
      </w:pPr>
      <w:r>
        <w:t>First sprint backlog</w:t>
      </w:r>
    </w:p>
    <w:p>
      <w:pPr>
        <w:pStyle w:val="ListBullet"/>
        <w:keepLines/>
      </w:pPr>
      <w:r>
        <w:rPr/>
        <w:t>Create the new repository and component manifest; pin SDK, CLI, AI Elements, Playwright, Office libraries, and Temporal; qualify the assembled image and workflow service.</w:t>
      </w:r>
    </w:p>
    <w:p>
      <w:pPr>
        <w:pStyle w:val="ListBullet"/>
        <w:keepLines/>
      </w:pPr>
      <w:r>
        <w:rPr/>
        <w:t>Use the official Clerk backend SDK and AWS SDK. Implement Capiro tenant and policy resolution, conversation ownership, run capabilities, and the trusted gateway.</w:t>
      </w:r>
    </w:p>
    <w:p>
      <w:pPr>
        <w:pStyle w:val="ListBullet"/>
        <w:keepLines/>
      </w:pPr>
      <w:r>
        <w:rPr/>
        <w:t>Run the single SDK loop behind the model proxy. Integrate SessionStore and file checkpoints; use a Temporal activity to launch and resume it after task termination.</w:t>
      </w:r>
    </w:p>
    <w:p>
      <w:pPr>
        <w:pStyle w:val="ListBullet"/>
        <w:keepLines/>
      </w:pPr>
      <w:r>
        <w:rPr/>
        <w:t>Wire AI Elements chat, tools, citations, confirmation, file tree, and artifact components to SDK events; implement stop, retry, reconnect, and real previews and downloads.</w:t>
      </w:r>
    </w:p>
    <w:p>
      <w:pPr>
        <w:pStyle w:val="ListBullet"/>
        <w:keepLines/>
      </w:pPr>
      <w:r>
        <w:rPr/>
        <w:t>Connect one client and governed memory read through new policies; run a Playwright browsing scenario; generate, render, preview, and revise a native brief with adopted libraries.</w:t>
      </w:r>
    </w:p>
    <w:p>
      <w:pPr>
        <w:pStyle w:val="ListBullet"/>
        <w:keepLines/>
      </w:pPr>
      <w:r>
        <w:rPr/>
        <w:t>Build the current-capability map. Run initial two-tenant, browser-state, retry, and approval tests through Promptfoo and Playwright; record startup, memory, completion time, and token cost.</w:t>
      </w:r>
    </w:p>
    <w:p>
      <w:pPr>
        <w:pStyle w:val="Heading1"/>
        <w:keepNext/>
        <w:pageBreakBefore/>
        <w:spacing w:before="320"/>
      </w:pPr>
      <w:r>
        <w:t>Reference sources</w:t>
      </w:r>
    </w:p>
    <w:p>
      <w:pPr>
        <w:keepLines/>
      </w:pPr>
      <w:r>
        <w:rPr>
          <w:b w:val="0"/>
        </w:rPr>
        <w:t>Official product documentation and source repositories support the component boundaries in this plan. Delivery estimates, component sizing, and phase assignments are engineering estimates rather than vendor guarantees. Verify package behavior again when versions are pinned.</w:t>
      </w:r>
    </w:p>
    <w:p>
      <w:pPr>
        <w:keepLines/>
        <w:spacing w:after="160"/>
      </w:pPr>
      <w:hyperlink r:id="rId9">
        <w:r>
          <w:rPr>
            <w:color w:val="174A75"/>
          </w:rPr>
          <w:t>1 Claude Agent SDK overview</w:t>
        </w:r>
      </w:hyperlink>
    </w:p>
    <w:p>
      <w:pPr>
        <w:keepLines/>
        <w:spacing w:after="160"/>
      </w:pPr>
      <w:hyperlink r:id="rId10">
        <w:r>
          <w:rPr>
            <w:color w:val="174A75"/>
          </w:rPr>
          <w:t>2 Claude Managed Agents overview</w:t>
        </w:r>
      </w:hyperlink>
    </w:p>
    <w:p>
      <w:pPr>
        <w:keepLines/>
        <w:spacing w:after="160"/>
      </w:pPr>
      <w:hyperlink r:id="rId11">
        <w:r>
          <w:rPr>
            <w:color w:val="174A75"/>
          </w:rPr>
          <w:t>3 Managed Agents self hosted sandboxes</w:t>
        </w:r>
      </w:hyperlink>
    </w:p>
    <w:p>
      <w:pPr>
        <w:keepLines/>
        <w:spacing w:after="160"/>
      </w:pPr>
      <w:hyperlink r:id="rId12">
        <w:r>
          <w:rPr>
            <w:color w:val="174A75"/>
          </w:rPr>
          <w:t>4 AWS Fargate task definition differences</w:t>
        </w:r>
      </w:hyperlink>
    </w:p>
    <w:p>
      <w:pPr>
        <w:keepLines/>
        <w:spacing w:after="160"/>
      </w:pPr>
      <w:hyperlink r:id="rId13">
        <w:r>
          <w:rPr>
            <w:color w:val="174A75"/>
          </w:rPr>
          <w:t>5 Claude Agent SDK secure deployment</w:t>
        </w:r>
      </w:hyperlink>
    </w:p>
    <w:p>
      <w:pPr>
        <w:keepLines/>
        <w:spacing w:after="160"/>
      </w:pPr>
      <w:hyperlink r:id="rId14">
        <w:r>
          <w:rPr>
            <w:color w:val="174A75"/>
          </w:rPr>
          <w:t>6 AWS Fargate ephemeral storage</w:t>
        </w:r>
      </w:hyperlink>
    </w:p>
    <w:p>
      <w:pPr>
        <w:keepLines/>
        <w:spacing w:after="160"/>
      </w:pPr>
      <w:hyperlink r:id="rId15">
        <w:r>
          <w:rPr>
            <w:color w:val="174A75"/>
          </w:rPr>
          <w:t>7 Claude Code features and configuration loading</w:t>
        </w:r>
      </w:hyperlink>
    </w:p>
    <w:p>
      <w:pPr>
        <w:keepLines/>
        <w:spacing w:after="160"/>
      </w:pPr>
      <w:hyperlink r:id="rId16">
        <w:r>
          <w:rPr>
            <w:color w:val="174A75"/>
          </w:rPr>
          <w:t>8 AI Elements component library</w:t>
        </w:r>
      </w:hyperlink>
    </w:p>
    <w:p>
      <w:pPr>
        <w:keepLines/>
        <w:spacing w:after="160"/>
      </w:pPr>
      <w:hyperlink r:id="rId17">
        <w:r>
          <w:rPr>
            <w:color w:val="174A75"/>
          </w:rPr>
          <w:t>9 AI SDK UI stream protocol</w:t>
        </w:r>
      </w:hyperlink>
    </w:p>
    <w:p>
      <w:pPr>
        <w:keepLines/>
        <w:spacing w:after="160"/>
      </w:pPr>
      <w:hyperlink r:id="rId18">
        <w:r>
          <w:rPr>
            <w:color w:val="174A75"/>
          </w:rPr>
          <w:t>10 Claude Agent SDK permissions</w:t>
        </w:r>
      </w:hyperlink>
    </w:p>
    <w:p>
      <w:pPr>
        <w:keepLines/>
        <w:spacing w:after="160"/>
      </w:pPr>
      <w:hyperlink r:id="rId19">
        <w:r>
          <w:rPr>
            <w:color w:val="174A75"/>
          </w:rPr>
          <w:t>11 Claude Agent Skills product availability</w:t>
        </w:r>
      </w:hyperlink>
    </w:p>
    <w:p>
      <w:pPr>
        <w:keepLines/>
        <w:spacing w:after="160"/>
      </w:pPr>
      <w:hyperlink r:id="rId20">
        <w:r>
          <w:rPr>
            <w:color w:val="174A75"/>
          </w:rPr>
          <w:t>12 Capiro Prisma service and database role boundary</w:t>
        </w:r>
      </w:hyperlink>
    </w:p>
    <w:p>
      <w:pPr>
        <w:keepLines/>
        <w:spacing w:after="160"/>
      </w:pPr>
      <w:hyperlink r:id="rId21">
        <w:r>
          <w:rPr>
            <w:color w:val="174A75"/>
          </w:rPr>
          <w:t>13 Capiro source domain vocabulary</w:t>
        </w:r>
      </w:hyperlink>
    </w:p>
    <w:p>
      <w:pPr>
        <w:keepLines/>
        <w:spacing w:after="160"/>
      </w:pPr>
      <w:hyperlink r:id="rId22">
        <w:r>
          <w:rPr>
            <w:color w:val="174A75"/>
          </w:rPr>
          <w:t>14 Capiro governed memory authorization</w:t>
        </w:r>
      </w:hyperlink>
    </w:p>
    <w:p>
      <w:pPr>
        <w:keepLines/>
        <w:spacing w:after="160"/>
      </w:pPr>
      <w:hyperlink r:id="rId23">
        <w:r>
          <w:rPr>
            <w:color w:val="174A75"/>
          </w:rPr>
          <w:t>15 python docx</w:t>
        </w:r>
      </w:hyperlink>
    </w:p>
    <w:p>
      <w:pPr>
        <w:keepLines/>
        <w:spacing w:after="160"/>
      </w:pPr>
      <w:hyperlink r:id="rId24">
        <w:r>
          <w:rPr>
            <w:color w:val="174A75"/>
          </w:rPr>
          <w:t>16 PptxGenJS</w:t>
        </w:r>
      </w:hyperlink>
    </w:p>
    <w:p>
      <w:pPr>
        <w:keepLines/>
        <w:spacing w:after="160"/>
      </w:pPr>
      <w:hyperlink r:id="rId25">
        <w:r>
          <w:rPr>
            <w:color w:val="174A75"/>
          </w:rPr>
          <w:t>17 LibreOffice PDF export parameters</w:t>
        </w:r>
      </w:hyperlink>
    </w:p>
    <w:p>
      <w:pPr>
        <w:keepLines/>
        <w:spacing w:after="160"/>
      </w:pPr>
      <w:hyperlink r:id="rId26">
        <w:r>
          <w:rPr>
            <w:color w:val="174A75"/>
          </w:rPr>
          <w:t>18 Claude SDK SessionStore and reference adapters</w:t>
        </w:r>
      </w:hyperlink>
    </w:p>
    <w:p>
      <w:pPr>
        <w:keepLines/>
        <w:spacing w:after="160"/>
      </w:pPr>
      <w:hyperlink r:id="rId27">
        <w:r>
          <w:rPr>
            <w:color w:val="174A75"/>
          </w:rPr>
          <w:t>19 XlsxWriter spreadsheet authoring</w:t>
        </w:r>
      </w:hyperlink>
    </w:p>
    <w:p>
      <w:pPr>
        <w:keepLines/>
        <w:spacing w:after="160"/>
      </w:pPr>
      <w:hyperlink r:id="rId28">
        <w:r>
          <w:rPr>
            <w:color w:val="174A75"/>
          </w:rPr>
          <w:t>20 Playwright CLI and compatible skills</w:t>
        </w:r>
      </w:hyperlink>
    </w:p>
    <w:p>
      <w:pPr>
        <w:keepLines/>
        <w:spacing w:after="160"/>
      </w:pPr>
      <w:hyperlink r:id="rId29">
        <w:r>
          <w:rPr>
            <w:color w:val="174A75"/>
          </w:rPr>
          <w:t>21 Playwright MCP server</w:t>
        </w:r>
      </w:hyperlink>
    </w:p>
    <w:p>
      <w:pPr>
        <w:keepLines/>
        <w:spacing w:after="160"/>
      </w:pPr>
      <w:hyperlink r:id="rId30">
        <w:r>
          <w:rPr>
            <w:color w:val="174A75"/>
          </w:rPr>
          <w:t>22 Temporal server and durable workflows</w:t>
        </w:r>
      </w:hyperlink>
    </w:p>
    <w:p>
      <w:pPr>
        <w:keepLines/>
        <w:spacing w:after="160"/>
      </w:pPr>
      <w:hyperlink r:id="rId31">
        <w:r>
          <w:rPr>
            <w:color w:val="174A75"/>
          </w:rPr>
          <w:t>23 Temporal TypeScript SDK</w:t>
        </w:r>
      </w:hyperlink>
    </w:p>
    <w:p>
      <w:pPr>
        <w:keepLines/>
        <w:spacing w:after="160"/>
      </w:pPr>
      <w:hyperlink r:id="rId32">
        <w:r>
          <w:rPr>
            <w:color w:val="174A75"/>
          </w:rPr>
          <w:t>24 AI Elements license</w:t>
        </w:r>
      </w:hyperlink>
    </w:p>
    <w:p>
      <w:pPr>
        <w:keepLines/>
        <w:spacing w:after="160"/>
      </w:pPr>
      <w:hyperlink r:id="rId33">
        <w:r>
          <w:rPr>
            <w:color w:val="174A75"/>
          </w:rPr>
          <w:t>25 PDF js viewer</w:t>
        </w:r>
      </w:hyperlink>
    </w:p>
    <w:p>
      <w:pPr>
        <w:keepLines/>
        <w:spacing w:after="160"/>
      </w:pPr>
      <w:hyperlink r:id="rId34">
        <w:r>
          <w:rPr>
            <w:color w:val="174A75"/>
          </w:rPr>
          <w:t>26 openpyxl supported workbook loading and editing</w:t>
        </w:r>
      </w:hyperlink>
    </w:p>
    <w:p>
      <w:pPr>
        <w:keepLines/>
        <w:spacing w:after="160"/>
      </w:pPr>
      <w:hyperlink r:id="rId35">
        <w:r>
          <w:rPr>
            <w:color w:val="174A75"/>
          </w:rPr>
          <w:t>27 XlsxWriter editing and formula calculation limits</w:t>
        </w:r>
      </w:hyperlink>
    </w:p>
    <w:p>
      <w:pPr>
        <w:keepLines/>
        <w:spacing w:after="160"/>
      </w:pPr>
      <w:hyperlink r:id="rId36">
        <w:r>
          <w:rPr>
            <w:color w:val="174A75"/>
          </w:rPr>
          <w:t>28 Anthropic skills licensing distinction</w:t>
        </w:r>
      </w:hyperlink>
    </w:p>
    <w:p>
      <w:pPr>
        <w:keepLines/>
        <w:spacing w:after="160"/>
      </w:pPr>
      <w:hyperlink r:id="rId37">
        <w:r>
          <w:rPr>
            <w:color w:val="174A75"/>
          </w:rPr>
          <w:t>29 Anthropic DOCX skill license restrictions</w:t>
        </w:r>
      </w:hyperlink>
    </w:p>
    <w:p>
      <w:pPr>
        <w:keepLines/>
        <w:spacing w:after="160"/>
      </w:pPr>
      <w:hyperlink r:id="rId38">
        <w:r>
          <w:rPr>
            <w:color w:val="174A75"/>
          </w:rPr>
          <w:t>30 Current Meri capability registry</w:t>
        </w:r>
      </w:hyperlink>
    </w:p>
    <w:p>
      <w:pPr>
        <w:keepLines/>
        <w:spacing w:after="160"/>
      </w:pPr>
      <w:hyperlink r:id="rId39">
        <w:r>
          <w:rPr>
            <w:color w:val="174A75"/>
          </w:rPr>
          <w:t>31 Promptfoo evaluations</w:t>
        </w:r>
      </w:hyperlink>
    </w:p>
    <w:p>
      <w:pPr>
        <w:keepLines/>
        <w:spacing w:after="160"/>
      </w:pPr>
      <w:hyperlink r:id="rId40">
        <w:r>
          <w:rPr>
            <w:color w:val="174A75"/>
          </w:rPr>
          <w:t>32 Clerk backend SDK</w:t>
        </w:r>
      </w:hyperlink>
    </w:p>
    <w:p>
      <w:pPr>
        <w:keepLines/>
        <w:spacing w:after="160"/>
      </w:pPr>
      <w:hyperlink r:id="rId41">
        <w:r>
          <w:rPr>
            <w:color w:val="174A75"/>
          </w:rPr>
          <w:t>33 AWS SDK for JavaScript</w:t>
        </w:r>
      </w:hyperlink>
    </w:p>
    <w:p>
      <w:pPr>
        <w:keepLines/>
        <w:spacing w:after="160"/>
      </w:pPr>
      <w:hyperlink r:id="rId42">
        <w:r>
          <w:rPr>
            <w:color w:val="174A75"/>
          </w:rPr>
          <w:t>34 LibreOffice licenses</w:t>
        </w:r>
      </w:hyperlink>
    </w:p>
    <w:p>
      <w:pPr>
        <w:keepLines/>
        <w:spacing w:after="160"/>
      </w:pPr>
      <w:hyperlink r:id="rId43">
        <w:r>
          <w:rPr>
            <w:color w:val="174A75"/>
          </w:rPr>
          <w:t>35 Playwright Test</w:t>
        </w:r>
      </w:hyperlink>
    </w:p>
    <w:p>
      <w:pPr>
        <w:keepLines/>
        <w:spacing w:after="160"/>
      </w:pPr>
      <w:hyperlink r:id="rId44">
        <w:r>
          <w:rPr>
            <w:color w:val="174A75"/>
          </w:rPr>
          <w:t>36 pypdf text and metadata extraction</w:t>
        </w:r>
      </w:hyperlink>
    </w:p>
    <w:p>
      <w:pPr>
        <w:keepLines/>
        <w:spacing w:after="160"/>
      </w:pPr>
      <w:hyperlink r:id="rId45">
        <w:r>
          <w:rPr>
            <w:color w:val="174A75"/>
          </w:rPr>
          <w:t>37 Tesseract OCR</w:t>
        </w:r>
      </w:hyperlink>
    </w:p>
    <w:p>
      <w:pPr>
        <w:keepLines/>
        <w:spacing w:after="160"/>
      </w:pPr>
      <w:hyperlink r:id="rId46">
        <w:r>
          <w:rPr>
            <w:color w:val="174A75"/>
          </w:rPr>
          <w:t>38 OpenTelemetry JavaScript</w:t>
        </w:r>
      </w:hyperlink>
    </w:p>
    <w:p>
      <w:pPr>
        <w:keepLines/>
      </w:pPr>
      <w:r>
        <w:rPr>
          <w:b w:val="0"/>
        </w:rPr>
        <w:t>Capiro data and permission references retain the original reviewed snapshot. The capability inventory uses the newer registry snapshot reviewed for the comparison. Recheck current schemas, policies, upstream licenses, and package behavior when versions and v1 scope are locked.</w:t>
      </w:r>
    </w:p>
    <w:sectPr w:rsidR="00FC693F" w:rsidRPr="0006063C" w:rsidSect="00034616">
      <w:pgSz w:w="12240" w:h="15840"/>
      <w:pgMar w:top="936" w:right="1080" w:bottom="936"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apiro" w:initials="C" w:date="2026-10-09T17:58:15Z">
    <w:p>
      <w:pPr>
        <w:pStyle w:val="CommentText"/>
      </w:pPr>
      <w:r>
        <w:rPr>
          <w:rStyle w:val="CommentReference"/>
        </w:rPr>
        <w:annotationRef/>
      </w:r>
      <w:r>
        <w:t>This revision makes third-party component adoption the default while retaining independent Capiro integration.</w:t>
      </w:r>
    </w:p>
  </w:comment>
  <w:comment w:id="1" w:author="Capiro" w:initials="C" w:date="2026-10-09T17:58:15Z">
    <w:p>
      <w:pPr>
        <w:pStyle w:val="CommentText"/>
      </w:pPr>
      <w:r>
        <w:rPr>
          <w:rStyle w:val="CommentReference"/>
        </w:rPr>
        <w:annotationRef/>
      </w:r>
      <w:r>
        <w:t>Replaces the proposed custom SQS lease and scheduler engine with existing durable workflow infrastructure.</w:t>
      </w:r>
    </w:p>
  </w:comment>
  <w:comment w:id="2" w:author="Capiro" w:initials="C" w:date="2026-10-09T17:58:15Z">
    <w:p>
      <w:pPr>
        <w:pStyle w:val="CommentText"/>
      </w:pPr>
      <w:r>
        <w:rPr>
          <w:rStyle w:val="CommentReference"/>
        </w:rPr>
        <w:annotationRef/>
      </w:r>
      <w:r>
        <w:t>Adds the concrete browser integration and host qualification scope requested in this revision.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0"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5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0"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de.claude.com/docs/en/agent-sdk/overview" TargetMode="External"/><Relationship Id="rId10" Type="http://schemas.openxmlformats.org/officeDocument/2006/relationships/hyperlink" Target="https://platform.claude.com/docs/en/managed-agents/overview" TargetMode="External"/><Relationship Id="rId11" Type="http://schemas.openxmlformats.org/officeDocument/2006/relationships/hyperlink" Target="https://platform.claude.com/docs/en/managed-agents/self-hosted-sandboxes" TargetMode="External"/><Relationship Id="rId12" Type="http://schemas.openxmlformats.org/officeDocument/2006/relationships/hyperlink" Target="https://docs.aws.amazon.com/AmazonECS/latest/developerguide/fargate-tasks-services.html" TargetMode="External"/><Relationship Id="rId13" Type="http://schemas.openxmlformats.org/officeDocument/2006/relationships/hyperlink" Target="https://code.claude.com/docs/en/agent-sdk/secure-deployment" TargetMode="External"/><Relationship Id="rId14" Type="http://schemas.openxmlformats.org/officeDocument/2006/relationships/hyperlink" Target="https://docs.aws.amazon.com/AmazonECS/latest/developerguide/fargate-task-storage.html" TargetMode="External"/><Relationship Id="rId15" Type="http://schemas.openxmlformats.org/officeDocument/2006/relationships/hyperlink" Target="https://code.claude.com/docs/en/agent-sdk/claude-code-features" TargetMode="External"/><Relationship Id="rId16" Type="http://schemas.openxmlformats.org/officeDocument/2006/relationships/hyperlink" Target="https://elements.ai-sdk.dev/" TargetMode="External"/><Relationship Id="rId17" Type="http://schemas.openxmlformats.org/officeDocument/2006/relationships/hyperlink" Target="https://ai-sdk.dev/docs/ai-sdk-ui/stream-protocol" TargetMode="External"/><Relationship Id="rId18" Type="http://schemas.openxmlformats.org/officeDocument/2006/relationships/hyperlink" Target="https://code.claude.com/docs/en/agent-sdk/permissions" TargetMode="External"/><Relationship Id="rId19" Type="http://schemas.openxmlformats.org/officeDocument/2006/relationships/hyperlink" Target="https://platform.claude.com/docs/en/agents-and-tools/agent-skills/overview" TargetMode="External"/><Relationship Id="rId20" Type="http://schemas.openxmlformats.org/officeDocument/2006/relationships/hyperlink" Target="https://github.com/neo-capiro/capirov2/blob/634a59f33c5e1931ed2c1ede6c6c6241e6917967/apps/api/src/prisma/prisma.service.ts" TargetMode="External"/><Relationship Id="rId21" Type="http://schemas.openxmlformats.org/officeDocument/2006/relationships/hyperlink" Target="https://github.com/neo-capiro/capirov2/blob/634a59f33c5e1931ed2c1ede6c6c6241e6917967/apps/api/src/retrieval/retrieval-v2.types.ts" TargetMode="External"/><Relationship Id="rId22" Type="http://schemas.openxmlformats.org/officeDocument/2006/relationships/hyperlink" Target="https://github.com/neo-capiro/capirov2/blob/634a59f33c5e1931ed2c1ede6c6c6241e6917967/apps/api/src/memory/memory-authorization.service.ts" TargetMode="External"/><Relationship Id="rId23" Type="http://schemas.openxmlformats.org/officeDocument/2006/relationships/hyperlink" Target="https://github.com/python-openxml/python-docx" TargetMode="External"/><Relationship Id="rId24" Type="http://schemas.openxmlformats.org/officeDocument/2006/relationships/hyperlink" Target="https://github.com/gitbrent/PptxGenJS" TargetMode="External"/><Relationship Id="rId25" Type="http://schemas.openxmlformats.org/officeDocument/2006/relationships/hyperlink" Target="https://help.libreoffice.org/latest/en-US/text/shared/guide/pdf_params.html" TargetMode="External"/><Relationship Id="rId26" Type="http://schemas.openxmlformats.org/officeDocument/2006/relationships/hyperlink" Target="https://code.claude.com/docs/en/agent-sdk/session-storage" TargetMode="External"/><Relationship Id="rId27" Type="http://schemas.openxmlformats.org/officeDocument/2006/relationships/hyperlink" Target="https://xlsxwriter.readthedocs.io/" TargetMode="External"/><Relationship Id="rId28" Type="http://schemas.openxmlformats.org/officeDocument/2006/relationships/hyperlink" Target="https://github.com/microsoft/playwright-cli" TargetMode="External"/><Relationship Id="rId29" Type="http://schemas.openxmlformats.org/officeDocument/2006/relationships/hyperlink" Target="https://github.com/microsoft/playwright-mcp" TargetMode="External"/><Relationship Id="rId30" Type="http://schemas.openxmlformats.org/officeDocument/2006/relationships/hyperlink" Target="https://github.com/temporalio/temporal" TargetMode="External"/><Relationship Id="rId31" Type="http://schemas.openxmlformats.org/officeDocument/2006/relationships/hyperlink" Target="https://github.com/temporalio/sdk-typescript" TargetMode="External"/><Relationship Id="rId32" Type="http://schemas.openxmlformats.org/officeDocument/2006/relationships/hyperlink" Target="https://github.com/vercel/ai-elements/blob/main/LICENSE" TargetMode="External"/><Relationship Id="rId33" Type="http://schemas.openxmlformats.org/officeDocument/2006/relationships/hyperlink" Target="https://github.com/mozilla/pdf.js" TargetMode="External"/><Relationship Id="rId34" Type="http://schemas.openxmlformats.org/officeDocument/2006/relationships/hyperlink" Target="https://openpyxl.readthedocs.io/en/stable/tutorial.html" TargetMode="External"/><Relationship Id="rId35" Type="http://schemas.openxmlformats.org/officeDocument/2006/relationships/hyperlink" Target="https://xlsxwriter.readthedocs.io/faq.html" TargetMode="External"/><Relationship Id="rId36" Type="http://schemas.openxmlformats.org/officeDocument/2006/relationships/hyperlink" Target="https://github.com/anthropics/skills" TargetMode="External"/><Relationship Id="rId37" Type="http://schemas.openxmlformats.org/officeDocument/2006/relationships/hyperlink" Target="https://github.com/anthropics/skills/blob/main/skills/docx/LICENSE.txt" TargetMode="External"/><Relationship Id="rId38" Type="http://schemas.openxmlformats.org/officeDocument/2006/relationships/hyperlink" Target="https://github.com/neo-capiro/capirov2/blob/fd8765ec01d292013758606204f2c9d886cd31c1/packages/shared/src/index.ts" TargetMode="External"/><Relationship Id="rId39" Type="http://schemas.openxmlformats.org/officeDocument/2006/relationships/hyperlink" Target="https://github.com/promptfoo/promptfoo" TargetMode="External"/><Relationship Id="rId40" Type="http://schemas.openxmlformats.org/officeDocument/2006/relationships/hyperlink" Target="https://clerk.com/docs/reference/backend/overview" TargetMode="External"/><Relationship Id="rId41" Type="http://schemas.openxmlformats.org/officeDocument/2006/relationships/hyperlink" Target="https://github.com/aws/aws-sdk-js-v3" TargetMode="External"/><Relationship Id="rId42" Type="http://schemas.openxmlformats.org/officeDocument/2006/relationships/hyperlink" Target="https://www.libreoffice.org/licenses/" TargetMode="External"/><Relationship Id="rId43" Type="http://schemas.openxmlformats.org/officeDocument/2006/relationships/hyperlink" Target="https://playwright.dev/docs/intro" TargetMode="External"/><Relationship Id="rId44" Type="http://schemas.openxmlformats.org/officeDocument/2006/relationships/hyperlink" Target="https://pypdf.readthedocs.io/en/stable/" TargetMode="External"/><Relationship Id="rId45" Type="http://schemas.openxmlformats.org/officeDocument/2006/relationships/hyperlink" Target="https://github.com/tesseract-ocr/tesseract" TargetMode="External"/><Relationship Id="rId46" Type="http://schemas.openxmlformats.org/officeDocument/2006/relationships/hyperlink" Target="https://github.com/open-telemetry/opentelemetry-js" TargetMode="External"/><Relationship Id="rId4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 Greenfield Agent Implementation Plan</dc:title>
  <dc:subject>SDK and open source adoption with Playwright and isolated execution</dc:subject>
  <dc:creator>Capiro</dc:creator>
  <cp:keywords/>
  <dc:description>Revised to maximize established components and preserve all original quantitative success criteria.</dc:description>
  <cp:lastModifiedBy/>
  <cp:revision>1</cp:revision>
  <dcterms:created xsi:type="dcterms:W3CDTF">2013-12-23T23:15:00Z</dcterms:created>
  <dcterms:modified xsi:type="dcterms:W3CDTF">2013-12-23T23:15:00Z</dcterms:modified>
  <cp:category/>
</cp:coreProperties>
</file>