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2026-10-13T08:49:00.122Z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2026-10-13T08:49:00.122Z; synchronized 2026-10-13T08:49:00.122Z; retrieved 2026-10-13T08:49:00.122Z.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2026-10-13T08:49:00.122Z; synchronized 2026-10-13T08:49:00.122Z; retrieved 2026-10-13T08:49:00.122Z.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2026-10-13T08:49:00.122Z.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b5e05969-58e7-4ae1-a63a-0eca0b517995; authorization decision f7d8f3cd-d0f1-4233-a9f0-5d1f45fde2cc.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2026-10-13T08:49:00.122Z; updated 2026-10-13T08:49:00.122Z.</w:t>
      </w:r>
    </w:p>
    <w:p>
      <w:pPr/>
      <w:r>
        <w:rPr>
          <w:b w:val="0"/>
          <w:i w:val="0"/>
        </w:rPr>
        <w:t>F2: unverified-claim; unresolved conflicting cited passages</w:t>
      </w:r>
    </w:p>
    <w:p>
      <w:pPr/>
      <w:r>
        <w:rPr>
          <w:b w:val="0"/>
          <w:i w:val="0"/>
        </w:rPr>
        <w:t>Source bill_text; record 119-hr-4242; version synthetic-ih-v1; citation b5e05969-58e7-4ae1-a63a-0eca0b517995; authorization decision f7d8f3cd-d0f1-4233-a9f0-5d1f45fde2cc.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2026-10-13T08:49:00.122Z; updated 2026-10-13T08:49:00.122Z.</w:t>
      </w:r>
    </w:p>
    <w:p>
      <w:pPr/>
      <w:r>
        <w:rPr>
          <w:b w:val="0"/>
          <w:i w:val="0"/>
        </w:rPr>
        <w:t>Source federal_legislation; record synthetic-status-4242; version synthetic-status-v1; citation 73708bb1-c9a6-4b97-ba80-c106889f0876; authorization decision e3b7545a-0fa3-4244-91bc-7a5b188d9f8f.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2026-10-13T08:49:00.122Z; updated 2026-10-13T08:49:00.122Z.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08:49:00.122Z","inputSha256":"b0d5503732f54466e8a1983766a98e8b847d70a37ebadf0006b927b60c61b752","readsSha256":"f2eb8d0bb2c38208937e36c35200fc0e75b964adefe5ca728a41bdd73b12fcce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