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2026-10-13T20:45:21.805Z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2026-10-13T20:45:21.805Z; synchronized 2026-10-13T20:45:21.805Z; retrieved 2026-10-13T20:45:21.805Z.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2026-10-13T20:45:21.805Z; synchronized 2026-10-13T20:45:21.805Z; retrieved 2026-10-13T20:45:21.805Z.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2026-10-13T20:45:21.805Z.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8184a87c-5efd-4794-8ba3-bcb4fb858d1b; authorization decision df993031-4821-4b46-b6af-bc9d4e22dffc.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2026-10-13T20:45:21.805Z; updated 2026-10-13T20:45:21.805Z.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8184a87c-5efd-4794-8ba3-bcb4fb858d1b; authorization decision df993031-4821-4b46-b6af-bc9d4e22dffc.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2026-10-13T20:45:21.805Z; updated 2026-10-13T20:45:21.805Z.</w:t>
      </w:r>
    </w:p>
    <w:p>
      <w:pPr/>
      <w:r>
        <w:rPr>
          <w:b w:val="0"/>
          <w:i w:val="0"/>
        </w:rPr>
        <w:t>Source federal_legislation; record synthetic-status-4242; version synthetic-status-v1; citation ae2852d7-e912-456a-a76c-4ba70a22c950; authorization decision d9abb1d2-7ad8-44f4-aa06-4f62b9c0c522.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2026-10-13T20:45:21.805Z; updated 2026-10-13T20:45:21.805Z.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20:45:21.805Z","inputSha256":"032e6c6508b939ddbf8deec6fe2857b55eab3e6c5a6fce039b7f752a85a7f6ed","readsSha256":"7938142de32c24caefca971f90acfbd8786f0b19365f6f8e9526669b6ea048d3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