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2026-10-13T20:51:36.561Z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preserve the separate authorization and appropriations evidence and request a current independent confirmation.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2026-10-13T20:51:36.561Z; synchronized 2026-10-13T20:51:36.561Z; retrieved 2026-10-13T20:51:36.561Z.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2026-10-13T20:51:36.561Z; synchronized 2026-10-13T20:51:36.561Z; retrieved 2026-10-13T20:51:36.561Z.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2026-10-13T20:51:36.561Z.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cca40cb1-82c3-4e07-8dfb-8cdd2966eb71; authorization decision 69dc330a-f077-4999-8aff-620027e21f53.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2026-10-13T20:51:36.561Z; updated 2026-10-13T20:51:36.561Z.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cca40cb1-82c3-4e07-8dfb-8cdd2966eb71; authorization decision 69dc330a-f077-4999-8aff-620027e21f53.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2026-10-13T20:51:36.561Z; updated 2026-10-13T20:51:36.561Z.</w:t>
      </w:r>
    </w:p>
    <w:p>
      <w:pPr/>
      <w:r>
        <w:rPr>
          <w:b w:val="0"/>
          <w:i w:val="0"/>
        </w:rPr>
        <w:t>Source federal_legislation; record synthetic-status-4242; version synthetic-status-v1; citation 44d02a01-53ea-4b03-bd8c-946771cc9283; authorization decision 275953a8-731b-4fd6-bb88-a35b7d8e5f58.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2026-10-13T20:51:36.561Z; updated 2026-10-13T20:51:36.561Z.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20:51:36.561Z","inputSha256":"f01051e4717a529950f09a892d4d24c0d8cfa63a113c544cc2e5a2c2142448a2","readsSha256":"edc30967d7112315a73d6a81edc4ba89f8e3e5e77d43a5257c48a57db4fb638a","parent":{"versionId":"134835e7-a0f7-4fc6-94a5-7a93eb4e038d","objectSha256":"281ac01f88a9da903341b413faa181cd7ca9d8d0876f6f5d00c93e0f61c1d03b","specSha256":"76664d79655a87e91b94c432a900716f7731a636962532889da7abade4dd2b07","provenanceSha256":"142d5776be985769f6be787065864cf8485496d4337dab71aa3630f26ba7d3b4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