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2026-10-13T20:45:22.089Z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Revised proposal: preserve the separate authorization and appropriations evidence and request a current independent confirmation.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2026-10-13T20:45:22.089Z; synchronized 2026-10-13T20:45:22.089Z; retrieved 2026-10-13T20:45:22.089Z.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2026-10-13T20:45:22.089Z; synchronized 2026-10-13T20:45:22.089Z; retrieved 2026-10-13T20:45:22.089Z.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2026-10-13T20:45:22.089Z.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77e048d0-af66-40dd-b64f-d70645840aeb; authorization decision 32632fa7-2412-4854-850e-b4c167f41960.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2026-10-13T20:45:22.089Z; updated 2026-10-13T20:45:22.089Z.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77e048d0-af66-40dd-b64f-d70645840aeb; authorization decision 32632fa7-2412-4854-850e-b4c167f41960.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2026-10-13T20:45:22.089Z; updated 2026-10-13T20:45:22.089Z.</w:t>
      </w:r>
    </w:p>
    <w:p>
      <w:pPr/>
      <w:r>
        <w:rPr>
          <w:b w:val="0"/>
          <w:i w:val="0"/>
        </w:rPr>
        <w:t>Source federal_legislation; record synthetic-status-4242; version synthetic-status-v1; citation 2ab3739b-8bc2-4107-a472-0b16541283e2; authorization decision 2350759c-cf32-4fed-b8bc-3f8ab3d4ee8d.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2026-10-13T20:45:22.089Z; updated 2026-10-13T20:45:22.089Z.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20:45:22.089Z","inputSha256":"ad4d8c9c3b87df26a2c9406ee4a01d9ac8ba4d8bfa9e2beb98eaa382c5d2a2ff","readsSha256":"e0f28539956330a92708a7553b2dfd82d993334f85724aac5a280d05f038cffa","parent":{"versionId":"39f353ff-d186-4308-9639-ee4e694f906e","objectSha256":"a85ff3cdcb8d6b63c0e51445a89da7788500d5c80ade7332179d241ca5450f0d","specSha256":"1a8548b0d6ef48dc838ec8d6b3018381be96952fe63934b60c08888fa3df7478","provenanceSha256":"1fad046abf60494daebf024b1dc44d6bd2be3ed3fa9b9148d29e1e5553295d78"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