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500"/>
        <w:jc w:val="center"/>
      </w:pPr>
      <w:r>
        <w:rPr>
          <w:b/>
          <w:bCs/>
          <w:color w:val="163A30"/>
          <w:sz w:val="52"/>
          <w:szCs w:val="52"/>
        </w:rPr>
        <w:t xml:space="preserve">KẾ HOẠCH GIAI ĐOẠN 0</w:t>
      </w:r>
    </w:p>
    <w:p>
      <w:pPr>
        <w:spacing w:after="80"/>
        <w:jc w:val="center"/>
      </w:pPr>
      <w:r>
        <w:rPr>
          <w:i/>
          <w:iCs/>
          <w:sz w:val="26"/>
          <w:szCs w:val="26"/>
        </w:rPr>
        <w:t xml:space="preserve">Tiền đề bắt buộc trước MVP</w:t>
      </w:r>
    </w:p>
    <w:p>
      <w:pPr>
        <w:spacing w:after="60" w:before="500"/>
        <w:jc w:val="center"/>
      </w:pPr>
      <w:r>
        <w:rPr>
          <w:b/>
          <w:bCs/>
          <w:color w:val="C98A2B"/>
          <w:sz w:val="30"/>
          <w:szCs w:val="30"/>
        </w:rPr>
        <w:t xml:space="preserve">Bộ chuẩn chương trình Việt Nam</w:t>
      </w:r>
    </w:p>
    <w:p>
      <w:pPr>
        <w:spacing w:after="60"/>
        <w:jc w:val="center"/>
      </w:pPr>
      <w:r>
        <w:rPr>
          <w:sz w:val="26"/>
          <w:szCs w:val="26"/>
        </w:rPr>
        <w:t xml:space="preserve">&amp;</w:t>
      </w:r>
    </w:p>
    <w:p>
      <w:pPr>
        <w:spacing w:after="700"/>
        <w:jc w:val="center"/>
      </w:pPr>
      <w:r>
        <w:rPr>
          <w:b/>
          <w:bCs/>
          <w:color w:val="C98A2B"/>
          <w:sz w:val="30"/>
          <w:szCs w:val="30"/>
        </w:rPr>
        <w:t xml:space="preserve">Khung đo Hiệu quả học tập (Learning Gain)</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tblGrid>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Thuộc</w:t>
            </w:r>
          </w:p>
        </w:tc>
        <w:tc>
          <w:tcPr>
            <w:tcW w:type="dxa" w:w="4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Nền tảng Gia sư AI (SRS v2.2)</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Phiên bản</w:t>
            </w:r>
          </w:p>
        </w:tc>
        <w:tc>
          <w:tcPr>
            <w:tcW w:type="dxa" w:w="4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1.0</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Trạng thái</w:t>
            </w:r>
          </w:p>
        </w:tc>
        <w:tc>
          <w:tcPr>
            <w:tcW w:type="dxa" w:w="4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Bản nháp để rà soát</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Ngày lập</w:t>
            </w:r>
          </w:p>
        </w:tc>
        <w:tc>
          <w:tcPr>
            <w:tcW w:type="dxa" w:w="4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Tháng 6, 2026</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Người soạn</w:t>
            </w:r>
          </w:p>
        </w:tc>
        <w:tc>
          <w:tcPr>
            <w:tcW w:type="dxa" w:w="42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Mr. Lâm</w:t>
            </w:r>
          </w:p>
        </w:tc>
      </w:tr>
      <w:t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Thời lượng dự kiến</w:t>
            </w:r>
          </w:p>
        </w:tc>
        <w:tc>
          <w:tcPr>
            <w:tcW w:type="dxa" w:w="42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8–10 tuần (trước khi rót vốn xây MVP)</w:t>
            </w:r>
          </w:p>
        </w:tc>
      </w:tr>
    </w:tbl>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Bối cảnh &amp; lí do</w:t>
      </w:r>
    </w:p>
    <w:p>
      <w:pPr>
        <w:spacing w:after="120" w:line="276"/>
      </w:pPr>
      <w:r>
        <w:t xml:space="preserve">Kết luận rà soát khoa học (SRS v2.1, mục 2.6) chỉ ra: “gia sư AI ⇒ học tốt hơn” không mặc nhiên đúng — kết quả phụ thuộc hoàn toàn vào thiết kế, và phải đo bằng năng lực TỰ LÀM khi tắt AI, không phải mức độ sử dụng. Muốn đo được điều đó, cần hai thứ chưa tồn tại:</w:t>
      </w:r>
    </w:p>
    <w:p>
      <w:pPr>
        <w:pStyle w:val="ListParagraph"/>
        <w:numPr>
          <w:ilvl w:val="0"/>
          <w:numId w:val="2"/>
        </w:numPr>
        <w:spacing w:after="60" w:line="276"/>
      </w:pPr>
      <w:r>
        <w:rPr>
          <w:sz w:val="24"/>
          <w:szCs w:val="24"/>
        </w:rPr>
        <w:t xml:space="preserve">Một bộ chuẩn chương trình Việt Nam (đề + lời giải mẫu đã thẩm định) để đo độ chính xác của AI và đo learning gain.</w:t>
      </w:r>
    </w:p>
    <w:p>
      <w:pPr>
        <w:pStyle w:val="ListParagraph"/>
        <w:numPr>
          <w:ilvl w:val="0"/>
          <w:numId w:val="2"/>
        </w:numPr>
        <w:spacing w:after="60" w:line="276"/>
      </w:pPr>
      <w:r>
        <w:rPr>
          <w:sz w:val="24"/>
          <w:szCs w:val="24"/>
        </w:rPr>
        <w:t xml:space="preserve">Một khung đo learning gain đáng tin (có nhóm đối chứng, kiểm tra tắt-AI, đo lưu giữ).</w:t>
      </w:r>
    </w:p>
    <w:p>
      <w:pPr>
        <w:spacing w:after="120" w:line="276"/>
      </w:pPr>
      <w:r>
        <w:t xml:space="preserve">Giai đoạn 0 tạo ra hai thứ này TRƯỚC khi viết tính năng. Nếu bỏ qua, mọi tuyên bố về chất lượng đều là cảm tính, và rủi ro rót vốn xây một sản phẩm trông hấp dẫn nhưng âm thầm làm hại việc học.</w:t>
      </w:r>
    </w:p>
    <w:p>
      <w:pPr>
        <w:spacing w:after="120" w:line="276"/>
      </w:pPr>
      <w:r>
        <w:rPr>
          <w:b/>
          <w:bCs/>
          <w:sz w:val="24"/>
          <w:szCs w:val="24"/>
        </w:rPr>
        <w:t xml:space="preserve">Nguyên tắc cổng: </w:t>
      </w:r>
      <w:r>
        <w:rPr>
          <w:sz w:val="24"/>
          <w:szCs w:val="24"/>
        </w:rPr>
        <w:t xml:space="preserve">chỉ chuyển sang MVP khi vượt qua các cổng Go/No-Go ở Phần 6.</w:t>
      </w:r>
    </w:p>
    <w:p>
      <w:pPr>
        <w:pStyle w:val="Heading1"/>
      </w:pPr>
      <w:r>
        <w:t xml:space="preserve">2. Bộ chuẩn chương trình Việt Nam (Gold Benchmark)</w:t>
      </w:r>
    </w:p>
    <w:p>
      <w:pPr>
        <w:pStyle w:val="Heading2"/>
      </w:pPr>
      <w:r>
        <w:t xml:space="preserve">2.1. Mục tiêu &amp; phạm vi</w:t>
      </w:r>
    </w:p>
    <w:p>
      <w:pPr>
        <w:pStyle w:val="ListParagraph"/>
        <w:numPr>
          <w:ilvl w:val="0"/>
          <w:numId w:val="3"/>
        </w:numPr>
        <w:spacing w:after="60" w:line="276"/>
      </w:pPr>
      <w:r>
        <w:rPr>
          <w:sz w:val="24"/>
          <w:szCs w:val="24"/>
        </w:rPr>
        <w:t xml:space="preserve">Phạm vi khởi điểm bám sát MVP: Toán 12 trọng tâm (~250 câu) + Vật lí 12 trọng tâm (~150 câu) ≈ 400 câu; mở rộng dần.</w:t>
      </w:r>
    </w:p>
    <w:p>
      <w:pPr>
        <w:pStyle w:val="ListParagraph"/>
        <w:numPr>
          <w:ilvl w:val="0"/>
          <w:numId w:val="3"/>
        </w:numPr>
        <w:spacing w:after="60" w:line="276"/>
      </w:pPr>
      <w:r>
        <w:rPr>
          <w:sz w:val="24"/>
          <w:szCs w:val="24"/>
        </w:rPr>
        <w:t xml:space="preserve">Mỗi câu là một “mục chuẩn” (gold item) có lời giải mẫu đã thẩm định, dùng làm thước đo cho cả AI lẫn học sinh.</w:t>
      </w:r>
    </w:p>
    <w:p>
      <w:pPr>
        <w:pStyle w:val="Heading2"/>
      </w:pPr>
      <w:r>
        <w:t xml:space="preserve">2.2. Ma trận cấu trúc (minh họa cho Toán 12)</w:t>
      </w:r>
    </w:p>
    <w:p>
      <w:pPr>
        <w:spacing w:after="120" w:line="276"/>
      </w:pPr>
      <w:r>
        <w:rPr>
          <w:i/>
          <w:iCs/>
          <w:color w:val="555555"/>
          <w:sz w:val="22"/>
          <w:szCs w:val="22"/>
        </w:rPr>
        <w:t xml:space="preserve">Số lượng mục tiêu theo chủ đề × mức độ. Phải ánh xạ lại theo phân phối chương trình GDPT 2018 chính thức hiện hành trước khi soạn.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1250"/>
        <w:gridCol w:w="1250"/>
        <w:gridCol w:w="1250"/>
        <w:gridCol w:w="1250"/>
        <w:gridCol w:w="1171"/>
      </w:tblGrid>
      <w:tr>
        <w:trPr>
          <w:tblHeader/>
        </w:trPr>
        <w:tc>
          <w:tcPr>
            <w:tcW w:type="dxa" w:w="29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Chủ đề (ánh xạ GDPT 2018)</w:t>
            </w:r>
          </w:p>
        </w:tc>
        <w:tc>
          <w:tcPr>
            <w:tcW w:type="dxa" w:w="12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Nhận biết</w:t>
            </w:r>
          </w:p>
        </w:tc>
        <w:tc>
          <w:tcPr>
            <w:tcW w:type="dxa" w:w="12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Thông hiểu</w:t>
            </w:r>
          </w:p>
        </w:tc>
        <w:tc>
          <w:tcPr>
            <w:tcW w:type="dxa" w:w="12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Vận dụng</w:t>
            </w:r>
          </w:p>
        </w:tc>
        <w:tc>
          <w:tcPr>
            <w:tcW w:type="dxa" w:w="12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VD cao</w:t>
            </w:r>
          </w:p>
        </w:tc>
        <w:tc>
          <w:tcPr>
            <w:tcW w:type="dxa" w:w="11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Tổng</w:t>
            </w:r>
          </w:p>
        </w:tc>
      </w:tr>
      <w:tr>
        <w:trPr>
          <w:tblHeader w:val="false"/>
        </w:trPr>
        <w:tc>
          <w:tcPr>
            <w:tcW w:type="dxa" w:w="29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Ứng dụng đạo hàm – khảo sát hàm số</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12</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14</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10</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6</w:t>
            </w:r>
          </w:p>
        </w:tc>
        <w:tc>
          <w:tcPr>
            <w:tcW w:type="dxa" w:w="1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42</w:t>
            </w:r>
          </w:p>
        </w:tc>
      </w:tr>
      <w:tr>
        <w:trPr>
          <w:tblHeader w:val="false"/>
        </w:trPr>
        <w:tc>
          <w:tcPr>
            <w:tcW w:type="dxa" w:w="29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Hàm số mũ &amp; logarit</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10</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12</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10</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4</w:t>
            </w:r>
          </w:p>
        </w:tc>
        <w:tc>
          <w:tcPr>
            <w:tcW w:type="dxa" w:w="11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36</w:t>
            </w:r>
          </w:p>
        </w:tc>
      </w:tr>
      <w:tr>
        <w:trPr>
          <w:tblHeader w:val="false"/>
        </w:trPr>
        <w:tc>
          <w:tcPr>
            <w:tcW w:type="dxa" w:w="29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Nguyên hàm – tích phân &amp; ứng dụng</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12</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14</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12</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6</w:t>
            </w:r>
          </w:p>
        </w:tc>
        <w:tc>
          <w:tcPr>
            <w:tcW w:type="dxa" w:w="1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44</w:t>
            </w:r>
          </w:p>
        </w:tc>
      </w:tr>
      <w:tr>
        <w:trPr>
          <w:tblHeader w:val="false"/>
        </w:trPr>
        <w:tc>
          <w:tcPr>
            <w:tcW w:type="dxa" w:w="29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Hình học toạ độ không gian (Oxyz)</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12</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12</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10</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4</w:t>
            </w:r>
          </w:p>
        </w:tc>
        <w:tc>
          <w:tcPr>
            <w:tcW w:type="dxa" w:w="11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38</w:t>
            </w:r>
          </w:p>
        </w:tc>
      </w:tr>
      <w:tr>
        <w:trPr>
          <w:tblHeader w:val="false"/>
        </w:trPr>
        <w:tc>
          <w:tcPr>
            <w:tcW w:type="dxa" w:w="29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Thống kê &amp; xác suất</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10</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12</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8</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2</w:t>
            </w:r>
          </w:p>
        </w:tc>
        <w:tc>
          <w:tcPr>
            <w:tcW w:type="dxa" w:w="1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32</w:t>
            </w:r>
          </w:p>
        </w:tc>
      </w:tr>
      <w:tr>
        <w:trPr>
          <w:tblHeader w:val="false"/>
        </w:trPr>
        <w:tc>
          <w:tcPr>
            <w:tcW w:type="dxa" w:w="29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Tổng hợp ôn thi (đề trộn)</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10</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20</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20</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8</w:t>
            </w:r>
          </w:p>
        </w:tc>
        <w:tc>
          <w:tcPr>
            <w:tcW w:type="dxa" w:w="11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58</w:t>
            </w:r>
          </w:p>
        </w:tc>
      </w:tr>
      <w:tr>
        <w:trPr>
          <w:tblHeader w:val="false"/>
        </w:trPr>
        <w:tc>
          <w:tcPr>
            <w:tcW w:type="dxa" w:w="29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Tổng</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66</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84</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70</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30</w:t>
            </w:r>
          </w:p>
        </w:tc>
        <w:tc>
          <w:tcPr>
            <w:tcW w:type="dxa" w:w="1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250</w:t>
            </w:r>
          </w:p>
        </w:tc>
      </w:tr>
    </w:tbl>
    <w:p>
      <w:pPr>
        <w:spacing w:after="120" w:line="276"/>
      </w:pPr>
      <w:r>
        <w:rPr>
          <w:b/>
          <w:bCs/>
          <w:sz w:val="22"/>
          <w:szCs w:val="22"/>
        </w:rPr>
        <w:t xml:space="preserve">Vật lí 12 (~150 câu): </w:t>
      </w:r>
      <w:r>
        <w:rPr>
          <w:sz w:val="22"/>
          <w:szCs w:val="22"/>
        </w:rPr>
        <w:t xml:space="preserve">phân bổ tương tự theo các chủ đề trọng tâm (dao động, sóng, điện xoay chiều, hạt nhân…), chú trọng kiểm tra đơn vị và bản chất hiện tượng.</w:t>
      </w:r>
    </w:p>
    <w:p>
      <w:pPr>
        <w:pStyle w:val="Heading2"/>
      </w:pPr>
      <w:r>
        <w:t xml:space="preserve">2.3. Nguồn đề &amp; bản quyền</w:t>
      </w:r>
    </w:p>
    <w:p>
      <w:pPr>
        <w:pStyle w:val="ListParagraph"/>
        <w:numPr>
          <w:ilvl w:val="0"/>
          <w:numId w:val="3"/>
        </w:numPr>
        <w:spacing w:after="60" w:line="276"/>
      </w:pPr>
      <w:r>
        <w:rPr>
          <w:sz w:val="24"/>
          <w:szCs w:val="24"/>
        </w:rPr>
        <w:t xml:space="preserve">Ưu tiên: đề tự soạn bởi giáo viên cộng tác (sở hữu rõ ràng) + đề từ nguồn mở/được cấp phép.</w:t>
      </w:r>
    </w:p>
    <w:p>
      <w:pPr>
        <w:pStyle w:val="ListParagraph"/>
        <w:numPr>
          <w:ilvl w:val="0"/>
          <w:numId w:val="3"/>
        </w:numPr>
        <w:spacing w:after="60" w:line="276"/>
      </w:pPr>
      <w:r>
        <w:rPr>
          <w:sz w:val="24"/>
          <w:szCs w:val="24"/>
        </w:rPr>
        <w:t xml:space="preserve">Tránh sao chép đề có bản quyền (sách/đề thi độc quyền) vào kho dùng lại; nếu tham khảo phải biến đổi và ghi nguồn.</w:t>
      </w:r>
    </w:p>
    <w:p>
      <w:pPr>
        <w:pStyle w:val="Heading2"/>
      </w:pPr>
      <w:r>
        <w:t xml:space="preserve">2.4. Quy trình thẩm định lời giải mẫu</w:t>
      </w:r>
    </w:p>
    <w:p>
      <w:pPr>
        <w:pStyle w:val="ListParagraph"/>
        <w:numPr>
          <w:ilvl w:val="0"/>
          <w:numId w:val="2"/>
        </w:numPr>
        <w:spacing w:after="60" w:line="276"/>
      </w:pPr>
      <w:r>
        <w:rPr>
          <w:sz w:val="24"/>
          <w:szCs w:val="24"/>
        </w:rPr>
        <w:t xml:space="preserve">Người soạn tạo mục: đề, đáp số, lời giải từng bước, sai lầm phổ biến, barem.</w:t>
      </w:r>
    </w:p>
    <w:p>
      <w:pPr>
        <w:pStyle w:val="ListParagraph"/>
        <w:numPr>
          <w:ilvl w:val="0"/>
          <w:numId w:val="2"/>
        </w:numPr>
        <w:spacing w:after="60" w:line="276"/>
      </w:pPr>
      <w:r>
        <w:rPr>
          <w:sz w:val="24"/>
          <w:szCs w:val="24"/>
        </w:rPr>
        <w:t xml:space="preserve">Hai giáo viên thẩm định ĐỘC LẬP (không thấy lời nhau).</w:t>
      </w:r>
    </w:p>
    <w:p>
      <w:pPr>
        <w:pStyle w:val="ListParagraph"/>
        <w:numPr>
          <w:ilvl w:val="0"/>
          <w:numId w:val="2"/>
        </w:numPr>
        <w:spacing w:after="60" w:line="276"/>
      </w:pPr>
      <w:r>
        <w:rPr>
          <w:sz w:val="24"/>
          <w:szCs w:val="24"/>
        </w:rPr>
        <w:t xml:space="preserve">Bất đồng → trọng tài (chủ nhiệm nội dung) phân xử.</w:t>
      </w:r>
    </w:p>
    <w:p>
      <w:pPr>
        <w:pStyle w:val="ListParagraph"/>
        <w:numPr>
          <w:ilvl w:val="0"/>
          <w:numId w:val="2"/>
        </w:numPr>
        <w:spacing w:after="60" w:line="276"/>
      </w:pPr>
      <w:r>
        <w:rPr>
          <w:sz w:val="24"/>
          <w:szCs w:val="24"/>
        </w:rPr>
        <w:t xml:space="preserve">Nếu kiểm được bằng SymPy: lưu kèm biểu thức kiểm chứng để tự động hồi quy.</w:t>
      </w:r>
    </w:p>
    <w:p>
      <w:pPr>
        <w:pStyle w:val="Heading2"/>
      </w:pPr>
      <w:r>
        <w:t xml:space="preserve">2.5. Lược đồ dữ liệu mỗi mục chuẩn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rPr>
          <w:tblHeader/>
        </w:trPr>
        <w:tc>
          <w:tcPr>
            <w:tcW w:type="dxa" w:w="25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Trường</w:t>
            </w:r>
          </w:p>
        </w:tc>
        <w:tc>
          <w:tcPr>
            <w:tcW w:type="dxa" w:w="65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Mô tả</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mã_đề, môn, lớp, chủ_đề</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Định danh &amp; phân loại</w:t>
            </w:r>
          </w:p>
        </w:tc>
      </w:tr>
      <w:tr>
        <w:trPr>
          <w:tblHeader w:val="false"/>
        </w:trPr>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mức_độ, dạng_bài</w:t>
            </w:r>
          </w:p>
        </w:tc>
        <w:tc>
          <w:tcPr>
            <w:tcW w:type="dxa" w:w="65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Nhận biết/Thông hiểu/Vận dụng/VD cao; dạng (trắc nghiệm/tự luận)</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đề_bài (LaTeX)</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Nội dung đề chuẩn hóa</w:t>
            </w:r>
          </w:p>
        </w:tc>
      </w:tr>
      <w:tr>
        <w:trPr>
          <w:tblHeader w:val="false"/>
        </w:trPr>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đáp_số / đáp_án</w:t>
            </w:r>
          </w:p>
        </w:tc>
        <w:tc>
          <w:tcPr>
            <w:tcW w:type="dxa" w:w="65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Kết quả đúng đã thẩm định</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lời_giải_mẫu</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Các bước trình bày theo chuẩn thi</w:t>
            </w:r>
          </w:p>
        </w:tc>
      </w:tr>
      <w:tr>
        <w:trPr>
          <w:tblHeader w:val="false"/>
        </w:trPr>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sai_lầm_phổ_biến</w:t>
            </w:r>
          </w:p>
        </w:tc>
        <w:tc>
          <w:tcPr>
            <w:tcW w:type="dxa" w:w="65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Bẫy/lỗi học sinh hay mắc (dùng cho dạy &amp; chấm)</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kiểm_chứng_SymPy</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Có/không + biểu thức kiểm tra (nếu áp dụng)</w:t>
            </w:r>
          </w:p>
        </w:tc>
      </w:tr>
      <w:tr>
        <w:trPr>
          <w:tblHeader w:val="false"/>
        </w:trPr>
        <w:tc>
          <w:tcPr>
            <w:tcW w:type="dxa" w:w="2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nguồn &amp; bản_quyền</w:t>
            </w:r>
          </w:p>
        </w:tc>
        <w:tc>
          <w:tcPr>
            <w:tcW w:type="dxa" w:w="65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Xuất xứ, tình trạng pháp lí</w:t>
            </w:r>
          </w:p>
        </w:tc>
      </w:tr>
      <w:tr>
        <w:trPr>
          <w:tblHeader w:val="false"/>
        </w:trPr>
        <w:tc>
          <w:tcPr>
            <w:tcW w:type="dxa" w:w="2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người_thẩm_định, ngày</w:t>
            </w:r>
          </w:p>
        </w:tc>
        <w:tc>
          <w:tcPr>
            <w:tcW w:type="dxa" w:w="65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Vết kiểm soát chất lượng</w:t>
            </w:r>
          </w:p>
        </w:tc>
      </w:tr>
    </w:tbl>
    <w:p>
      <w:pPr>
        <w:pStyle w:val="Heading2"/>
      </w:pPr>
      <w:r>
        <w:t xml:space="preserve">2.6. Tiêu chí chất lượng bộ chuẩn</w:t>
      </w:r>
    </w:p>
    <w:p>
      <w:pPr>
        <w:pStyle w:val="ListParagraph"/>
        <w:numPr>
          <w:ilvl w:val="0"/>
          <w:numId w:val="3"/>
        </w:numPr>
        <w:spacing w:after="60" w:line="276"/>
      </w:pPr>
      <w:r>
        <w:rPr>
          <w:sz w:val="24"/>
          <w:szCs w:val="24"/>
        </w:rPr>
        <w:t xml:space="preserve">Độ phủ: ≥ 90% chủ đề trọng tâm của phạm vi MVP có đủ mục ở mọi mức độ.</w:t>
      </w:r>
    </w:p>
    <w:p>
      <w:pPr>
        <w:pStyle w:val="ListParagraph"/>
        <w:numPr>
          <w:ilvl w:val="0"/>
          <w:numId w:val="3"/>
        </w:numPr>
        <w:spacing w:after="60" w:line="276"/>
      </w:pPr>
      <w:r>
        <w:rPr>
          <w:sz w:val="24"/>
          <w:szCs w:val="24"/>
        </w:rPr>
        <w:t xml:space="preserve">Độ đồng thuận liên giám khảo về đáp số ≥ 95% (sau phân xử = 100%).</w:t>
      </w:r>
    </w:p>
    <w:p>
      <w:pPr>
        <w:pStyle w:val="ListParagraph"/>
        <w:numPr>
          <w:ilvl w:val="0"/>
          <w:numId w:val="3"/>
        </w:numPr>
        <w:spacing w:after="60" w:line="276"/>
      </w:pPr>
      <w:r>
        <w:rPr>
          <w:sz w:val="24"/>
          <w:szCs w:val="24"/>
        </w:rPr>
        <w:t xml:space="preserve">Tỉ lệ mục kiểm chứng được bằng SymPy đạt mục tiêu (vd ≥ 60% phần Toán tính toán).</w:t>
      </w:r>
    </w:p>
    <w:p>
      <w:pPr>
        <w:pStyle w:val="Heading1"/>
      </w:pPr>
      <w:r>
        <w:t xml:space="preserve">3. Khung đo hiệu quả học tập (Learning Gain)</w:t>
      </w:r>
    </w:p>
    <w:p>
      <w:pPr>
        <w:pStyle w:val="Heading2"/>
      </w:pPr>
      <w:r>
        <w:t xml:space="preserve">3.1. Câu hỏi nghiên cứu</w:t>
      </w:r>
    </w:p>
    <w:p>
      <w:pPr>
        <w:spacing w:after="120" w:line="276"/>
      </w:pPr>
      <w:r>
        <w:t xml:space="preserve">Sau một thời gian dùng app, năng lực TỰ LÀM (khi tắt AI) của học sinh có cải thiện hơn so với không dùng app không? Có dấu hiệu lệ thuộc (điểm tụt khi tắt AI) không?</w:t>
      </w:r>
    </w:p>
    <w:p>
      <w:pPr>
        <w:pStyle w:val="Heading2"/>
      </w:pPr>
      <w:r>
        <w:t xml:space="preserve">3.2. Thiết kế thử nghiệm</w:t>
      </w:r>
    </w:p>
    <w:p>
      <w:pPr>
        <w:pStyle w:val="ListParagraph"/>
        <w:numPr>
          <w:ilvl w:val="0"/>
          <w:numId w:val="3"/>
        </w:numPr>
        <w:spacing w:after="60" w:line="276"/>
      </w:pPr>
      <w:r>
        <w:rPr>
          <w:sz w:val="24"/>
          <w:szCs w:val="24"/>
        </w:rPr>
        <w:t xml:space="preserve">Có nhóm đối chứng: nhóm dùng app vs nhóm tự học như thường (nhóm đối chứng được dùng app sau khi thử nghiệm kết thúc — đạo đức).</w:t>
      </w:r>
    </w:p>
    <w:p>
      <w:pPr>
        <w:pStyle w:val="ListParagraph"/>
        <w:numPr>
          <w:ilvl w:val="0"/>
          <w:numId w:val="3"/>
        </w:numPr>
        <w:spacing w:after="60" w:line="276"/>
      </w:pPr>
      <w:r>
        <w:rPr>
          <w:sz w:val="24"/>
          <w:szCs w:val="24"/>
        </w:rPr>
        <w:t xml:space="preserve">Ngẫu nhiên hóa phân nhóm; cân bằng trình độ đầu vào.</w:t>
      </w:r>
    </w:p>
    <w:p>
      <w:pPr>
        <w:pStyle w:val="ListParagraph"/>
        <w:numPr>
          <w:ilvl w:val="0"/>
          <w:numId w:val="3"/>
        </w:numPr>
        <w:spacing w:after="60" w:line="276"/>
      </w:pPr>
      <w:r>
        <w:rPr>
          <w:sz w:val="24"/>
          <w:szCs w:val="24"/>
        </w:rPr>
        <w:t xml:space="preserve">Pre-test → giai đoạn học (2–4 tuần) → Post-test → Retention test sau 2–4 tuần. TẤT CẢ bài kiểm tra làm KHÔNG có AI, giám sát.</w:t>
      </w:r>
    </w:p>
    <w:p>
      <w:pPr>
        <w:pStyle w:val="Heading2"/>
      </w:pPr>
      <w:r>
        <w:t xml:space="preserve">3.3. Công cụ đo</w:t>
      </w:r>
    </w:p>
    <w:p>
      <w:pPr>
        <w:pStyle w:val="ListParagraph"/>
        <w:numPr>
          <w:ilvl w:val="0"/>
          <w:numId w:val="3"/>
        </w:numPr>
        <w:spacing w:after="60" w:line="276"/>
      </w:pPr>
      <w:r>
        <w:rPr>
          <w:sz w:val="24"/>
          <w:szCs w:val="24"/>
        </w:rPr>
        <w:t xml:space="preserve">Bộ đề pre/post/retention tương đương nhau (rút từ bộ chuẩn, cùng ma trận độ khó), tránh trùng câu.</w:t>
      </w:r>
    </w:p>
    <w:p>
      <w:pPr>
        <w:pStyle w:val="ListParagraph"/>
        <w:numPr>
          <w:ilvl w:val="0"/>
          <w:numId w:val="3"/>
        </w:numPr>
        <w:spacing w:after="60" w:line="276"/>
      </w:pPr>
      <w:r>
        <w:rPr>
          <w:sz w:val="24"/>
          <w:szCs w:val="24"/>
        </w:rPr>
        <w:t xml:space="preserve">Chống rò rỉ: đề benchmark/đề test KHÔNG được đưa vào prompt hệ thống hay dữ liệu huấn luyện.</w:t>
      </w:r>
    </w:p>
    <w:p>
      <w:pPr>
        <w:pStyle w:val="Heading2"/>
      </w:pPr>
      <w:r>
        <w:t xml:space="preserve">3.4. Chỉ số (và phản chỉ số)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00"/>
        <w:gridCol w:w="4471"/>
        <w:gridCol w:w="1500"/>
      </w:tblGrid>
      <w:tr>
        <w:trPr>
          <w:tblHeader/>
        </w:trPr>
        <w:tc>
          <w:tcPr>
            <w:tcW w:type="dxa" w:w="31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Chỉ số</w:t>
            </w:r>
          </w:p>
        </w:tc>
        <w:tc>
          <w:tcPr>
            <w:tcW w:type="dxa" w:w="44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Định nghĩa</w:t>
            </w:r>
          </w:p>
        </w:tc>
        <w:tc>
          <w:tcPr>
            <w:tcW w:type="dxa" w:w="15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Vai trò</w:t>
            </w:r>
          </w:p>
        </w:tc>
      </w:tr>
      <w:tr>
        <w:trPr>
          <w:tblHeader w:val="false"/>
        </w:trPr>
        <w:tc>
          <w:tcPr>
            <w:tcW w:type="dxa" w:w="31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Learning gain thô</w:t>
            </w:r>
          </w:p>
        </w:tc>
        <w:tc>
          <w:tcPr>
            <w:tcW w:type="dxa" w:w="4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Điểm post − điểm pre</w:t>
            </w:r>
          </w:p>
        </w:tc>
        <w:tc>
          <w:tcPr>
            <w:tcW w:type="dxa" w:w="1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Cốt lõi</w:t>
            </w:r>
          </w:p>
        </w:tc>
      </w:tr>
      <w:tr>
        <w:trPr>
          <w:tblHeader w:val="false"/>
        </w:trPr>
        <w:tc>
          <w:tcPr>
            <w:tcW w:type="dxa" w:w="31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Normalized gain ⟨g⟩</w:t>
            </w:r>
          </w:p>
        </w:tc>
        <w:tc>
          <w:tcPr>
            <w:tcW w:type="dxa" w:w="4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(post − pre) / (max − pre)</w:t>
            </w:r>
          </w:p>
        </w:tc>
        <w:tc>
          <w:tcPr>
            <w:tcW w:type="dxa" w:w="1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So sánh giữa nhóm</w:t>
            </w:r>
          </w:p>
        </w:tc>
      </w:tr>
      <w:tr>
        <w:trPr>
          <w:tblHeader w:val="false"/>
        </w:trPr>
        <w:tc>
          <w:tcPr>
            <w:tcW w:type="dxa" w:w="31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Tỉ lệ tự giải (AI-off)</w:t>
            </w:r>
          </w:p>
        </w:tc>
        <w:tc>
          <w:tcPr>
            <w:tcW w:type="dxa" w:w="4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 bài tự làm đúng khi không có AI</w:t>
            </w:r>
          </w:p>
        </w:tc>
        <w:tc>
          <w:tcPr>
            <w:tcW w:type="dxa" w:w="1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Cốt lõi (chống lệ thuộc)</w:t>
            </w:r>
          </w:p>
        </w:tc>
      </w:tr>
      <w:tr>
        <w:trPr>
          <w:tblHeader w:val="false"/>
        </w:trPr>
        <w:tc>
          <w:tcPr>
            <w:tcW w:type="dxa" w:w="31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Lưu giữ (retention)</w:t>
            </w:r>
          </w:p>
        </w:tc>
        <w:tc>
          <w:tcPr>
            <w:tcW w:type="dxa" w:w="4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Điểm bài sau 2–4 tuần</w:t>
            </w:r>
          </w:p>
        </w:tc>
        <w:tc>
          <w:tcPr>
            <w:tcW w:type="dxa" w:w="1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Bền vững</w:t>
            </w:r>
          </w:p>
        </w:tc>
      </w:tr>
      <w:tr>
        <w:trPr>
          <w:tblHeader w:val="false"/>
        </w:trPr>
        <w:tc>
          <w:tcPr>
            <w:tcW w:type="dxa" w:w="31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Engagement / thời lượng</w:t>
            </w:r>
          </w:p>
        </w:tc>
        <w:tc>
          <w:tcPr>
            <w:tcW w:type="dxa" w:w="4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Mức độ dùng app</w:t>
            </w:r>
          </w:p>
        </w:tc>
        <w:tc>
          <w:tcPr>
            <w:tcW w:type="dxa" w:w="1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PHẢN chỉ số — KHÔNG dùng làm thước đo hiệu quả</w:t>
            </w:r>
          </w:p>
        </w:tc>
      </w:tr>
    </w:tbl>
    <w:p>
      <w:pPr>
        <w:pStyle w:val="Heading2"/>
      </w:pPr>
      <w:r>
        <w:t xml:space="preserve">3.5. Cỡ mẫu, thống kê &amp; phòng thiên lệch</w:t>
      </w:r>
    </w:p>
    <w:p>
      <w:pPr>
        <w:pStyle w:val="ListParagraph"/>
        <w:numPr>
          <w:ilvl w:val="0"/>
          <w:numId w:val="3"/>
        </w:numPr>
        <w:spacing w:after="60" w:line="276"/>
      </w:pPr>
      <w:r>
        <w:rPr>
          <w:sz w:val="24"/>
          <w:szCs w:val="24"/>
        </w:rPr>
        <w:t xml:space="preserve">Cỡ mẫu đủ power cho so sánh hai nhóm (pilot có thể nhỏ ~30–60/ nhóm, đọc theo xu hướng + khoảng tin cậy).</w:t>
      </w:r>
    </w:p>
    <w:p>
      <w:pPr>
        <w:pStyle w:val="ListParagraph"/>
        <w:numPr>
          <w:ilvl w:val="0"/>
          <w:numId w:val="3"/>
        </w:numPr>
        <w:spacing w:after="60" w:line="276"/>
      </w:pPr>
      <w:r>
        <w:rPr>
          <w:sz w:val="24"/>
          <w:szCs w:val="24"/>
        </w:rPr>
        <w:t xml:space="preserve">Chấm bài “mù” (người chấm không biết học sinh thuộc nhóm nào).</w:t>
      </w:r>
    </w:p>
    <w:p>
      <w:pPr>
        <w:pStyle w:val="ListParagraph"/>
        <w:numPr>
          <w:ilvl w:val="0"/>
          <w:numId w:val="3"/>
        </w:numPr>
        <w:spacing w:after="60" w:line="276"/>
      </w:pPr>
      <w:r>
        <w:rPr>
          <w:sz w:val="24"/>
          <w:szCs w:val="24"/>
        </w:rPr>
        <w:t xml:space="preserve">Chống “teaching to the test”: đề học khác đề kiểm tra; kiểm tra cả dạng chưa luyện.</w:t>
      </w:r>
    </w:p>
    <w:p>
      <w:pPr>
        <w:pStyle w:val="ListParagraph"/>
        <w:numPr>
          <w:ilvl w:val="0"/>
          <w:numId w:val="3"/>
        </w:numPr>
        <w:spacing w:after="60" w:line="276"/>
      </w:pPr>
      <w:r>
        <w:rPr>
          <w:sz w:val="24"/>
          <w:szCs w:val="24"/>
        </w:rPr>
        <w:t xml:space="preserve">Đạo đức: đồng ý của phụ huynh; minh bạch; nhóm đối chứng được hưởng app sau.</w:t>
      </w:r>
    </w:p>
    <w:p>
      <w:pPr>
        <w:pStyle w:val="Heading1"/>
      </w:pPr>
      <w:r>
        <w:t xml:space="preserve">4. Công cụ &amp; nhân sự tối thiểu</w:t>
      </w:r>
    </w:p>
    <w:p>
      <w:pPr>
        <w:pStyle w:val="Heading2"/>
      </w:pPr>
      <w:r>
        <w:t xml:space="preserve">4.1. Công cụ</w:t>
      </w:r>
    </w:p>
    <w:p>
      <w:pPr>
        <w:pStyle w:val="ListParagraph"/>
        <w:numPr>
          <w:ilvl w:val="0"/>
          <w:numId w:val="3"/>
        </w:numPr>
        <w:spacing w:after="60" w:line="276"/>
      </w:pPr>
      <w:r>
        <w:rPr>
          <w:sz w:val="24"/>
          <w:szCs w:val="24"/>
        </w:rPr>
        <w:t xml:space="preserve">Kho mục chuẩn (có thể bắt đầu bằng Google Sheets/JSON) theo lược đồ 2.5.</w:t>
      </w:r>
    </w:p>
    <w:p>
      <w:pPr>
        <w:pStyle w:val="ListParagraph"/>
        <w:numPr>
          <w:ilvl w:val="0"/>
          <w:numId w:val="3"/>
        </w:numPr>
        <w:spacing w:after="60" w:line="276"/>
      </w:pPr>
      <w:r>
        <w:rPr>
          <w:sz w:val="24"/>
          <w:szCs w:val="24"/>
        </w:rPr>
        <w:t xml:space="preserve">Bộ chạy đánh giá (eval runner): đưa từng đề qua model + lớp SymPy, ghi đúng/sai, độ trễ, token.</w:t>
      </w:r>
    </w:p>
    <w:p>
      <w:pPr>
        <w:pStyle w:val="ListParagraph"/>
        <w:numPr>
          <w:ilvl w:val="0"/>
          <w:numId w:val="3"/>
        </w:numPr>
        <w:spacing w:after="60" w:line="276"/>
      </w:pPr>
      <w:r>
        <w:rPr>
          <w:sz w:val="24"/>
          <w:szCs w:val="24"/>
        </w:rPr>
        <w:t xml:space="preserve">Bảng theo dõi learning gain (nhập điểm pre/post/retention, tính ⟨g⟩, so nhóm).</w:t>
      </w:r>
    </w:p>
    <w:p>
      <w:pPr>
        <w:pStyle w:val="Heading2"/>
      </w:pPr>
      <w:r>
        <w:t xml:space="preserve">4.2. Nhân sự &amp; vai trò</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5221"/>
        <w:gridCol w:w="1250"/>
      </w:tblGrid>
      <w:tr>
        <w:trPr>
          <w:tblHeader/>
        </w:trPr>
        <w:tc>
          <w:tcPr>
            <w:tcW w:type="dxa" w:w="26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Vai trò</w:t>
            </w:r>
          </w:p>
        </w:tc>
        <w:tc>
          <w:tcPr>
            <w:tcW w:type="dxa" w:w="522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Trách nhiệm</w:t>
            </w:r>
          </w:p>
        </w:tc>
        <w:tc>
          <w:tcPr>
            <w:tcW w:type="dxa" w:w="125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Số lượng</w:t>
            </w:r>
          </w:p>
        </w:tc>
      </w:tr>
      <w:tr>
        <w:trPr>
          <w:tblHeader w:val="false"/>
        </w:trPr>
        <w:tc>
          <w:tcPr>
            <w:tcW w:type="dxa" w:w="2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Chủ nhiệm nội dung</w:t>
            </w:r>
          </w:p>
        </w:tc>
        <w:tc>
          <w:tcPr>
            <w:tcW w:type="dxa" w:w="52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Chuẩn hóa ma trận, trọng tài thẩm định</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w:t>
            </w:r>
          </w:p>
        </w:tc>
      </w:tr>
      <w:tr>
        <w:trPr>
          <w:tblHeader w:val="false"/>
        </w:trPr>
        <w:tc>
          <w:tcPr>
            <w:tcW w:type="dxa" w:w="2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Giáo viên thẩm định</w:t>
            </w:r>
          </w:p>
        </w:tc>
        <w:tc>
          <w:tcPr>
            <w:tcW w:type="dxa" w:w="52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Soạn &amp; thẩm định độc lập lời giải mẫu</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 2</w:t>
            </w:r>
          </w:p>
        </w:tc>
      </w:tr>
      <w:tr>
        <w:trPr>
          <w:tblHeader w:val="false"/>
        </w:trPr>
        <w:tc>
          <w:tcPr>
            <w:tcW w:type="dxa" w:w="26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Kĩ sư đánh giá</w:t>
            </w:r>
          </w:p>
        </w:tc>
        <w:tc>
          <w:tcPr>
            <w:tcW w:type="dxa" w:w="522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Dựng eval runner + tích hợp SymPy</w:t>
            </w:r>
          </w:p>
        </w:tc>
        <w:tc>
          <w:tcPr>
            <w:tcW w:type="dxa" w:w="125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w:t>
            </w:r>
          </w:p>
        </w:tc>
      </w:tr>
      <w:tr>
        <w:trPr>
          <w:tblHeader w:val="false"/>
        </w:trPr>
        <w:tc>
          <w:tcPr>
            <w:tcW w:type="dxa" w:w="26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Điều phối thử nghiệm</w:t>
            </w:r>
          </w:p>
        </w:tc>
        <w:tc>
          <w:tcPr>
            <w:tcW w:type="dxa" w:w="522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Tổ chức pilot, thu thập &amp; chấm bài</w:t>
            </w:r>
          </w:p>
        </w:tc>
        <w:tc>
          <w:tcPr>
            <w:tcW w:type="dxa" w:w="125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1</w:t>
            </w:r>
          </w:p>
        </w:tc>
      </w:tr>
    </w:tbl>
    <w:p>
      <w:pPr>
        <w:pStyle w:val="Heading1"/>
      </w:pPr>
      <w:r>
        <w:t xml:space="preserve">5. Mốc thời gian &amp; ngân sách</w:t>
      </w:r>
    </w:p>
    <w:p>
      <w:pPr>
        <w:pStyle w:val="Heading2"/>
      </w:pPr>
      <w:r>
        <w:t xml:space="preserve">5.1. Mốc thời gian (8–10 tuần)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171"/>
      </w:tblGrid>
      <w:tr>
        <w:trPr>
          <w:tblHeader/>
        </w:trPr>
        <w:tc>
          <w:tcPr>
            <w:tcW w:type="dxa" w:w="15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Tuần</w:t>
            </w:r>
          </w:p>
        </w:tc>
        <w:tc>
          <w:tcPr>
            <w:tcW w:type="dxa" w:w="44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Hoạt động</w:t>
            </w:r>
          </w:p>
        </w:tc>
        <w:tc>
          <w:tcPr>
            <w:tcW w:type="dxa" w:w="31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Đầu ra</w:t>
            </w:r>
          </w:p>
        </w:tc>
      </w:tr>
      <w:tr>
        <w:trPr>
          <w:tblHeader w:val="false"/>
        </w:trPr>
        <w:tc>
          <w:tcPr>
            <w:tcW w:type="dxa" w:w="1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1–2</w:t>
            </w:r>
          </w:p>
        </w:tc>
        <w:tc>
          <w:tcPr>
            <w:tcW w:type="dxa" w:w="4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Chốt ma trận &amp; lược đồ; tuyển giáo viên; dựng kho</w:t>
            </w:r>
          </w:p>
        </w:tc>
        <w:tc>
          <w:tcPr>
            <w:tcW w:type="dxa" w:w="3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Ma trận + kho rỗng + quy trình</w:t>
            </w:r>
          </w:p>
        </w:tc>
      </w:tr>
      <w:tr>
        <w:trPr>
          <w:tblHeader w:val="false"/>
        </w:trPr>
        <w:tc>
          <w:tcPr>
            <w:tcW w:type="dxa" w:w="1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3–6</w:t>
            </w:r>
          </w:p>
        </w:tc>
        <w:tc>
          <w:tcPr>
            <w:tcW w:type="dxa" w:w="4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Soạn &amp; thẩm định mục chuẩn (2 vòng độc lập)</w:t>
            </w:r>
          </w:p>
        </w:tc>
        <w:tc>
          <w:tcPr>
            <w:tcW w:type="dxa" w:w="31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 400 mục đạt chất lượng</w:t>
            </w:r>
          </w:p>
        </w:tc>
      </w:tr>
      <w:tr>
        <w:trPr>
          <w:tblHeader w:val="false"/>
        </w:trPr>
        <w:tc>
          <w:tcPr>
            <w:tcW w:type="dxa" w:w="1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5–7</w:t>
            </w:r>
          </w:p>
        </w:tc>
        <w:tc>
          <w:tcPr>
            <w:tcW w:type="dxa" w:w="4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Dựng eval runner; chạy baseline model trên bộ chuẩn</w:t>
            </w:r>
          </w:p>
        </w:tc>
        <w:tc>
          <w:tcPr>
            <w:tcW w:type="dxa" w:w="3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Báo cáo độ chính xác baseline (VN)</w:t>
            </w:r>
          </w:p>
        </w:tc>
      </w:tr>
      <w:tr>
        <w:trPr>
          <w:tblHeader w:val="false"/>
        </w:trPr>
        <w:tc>
          <w:tcPr>
            <w:tcW w:type="dxa" w:w="15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7–9</w:t>
            </w:r>
          </w:p>
        </w:tc>
        <w:tc>
          <w:tcPr>
            <w:tcW w:type="dxa" w:w="4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Pilot learning gain (pre/học/post)</w:t>
            </w:r>
          </w:p>
        </w:tc>
        <w:tc>
          <w:tcPr>
            <w:tcW w:type="dxa" w:w="31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Dữ liệu pilot + so nhóm</w:t>
            </w:r>
          </w:p>
        </w:tc>
      </w:tr>
      <w:tr>
        <w:trPr>
          <w:tblHeader w:val="false"/>
        </w:trPr>
        <w:tc>
          <w:tcPr>
            <w:tcW w:type="dxa" w:w="15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9–10</w:t>
            </w:r>
          </w:p>
        </w:tc>
        <w:tc>
          <w:tcPr>
            <w:tcW w:type="dxa" w:w="4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Retention test; phân tích; họp Go/No-Go</w:t>
            </w:r>
          </w:p>
        </w:tc>
        <w:tc>
          <w:tcPr>
            <w:tcW w:type="dxa" w:w="31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Báo cáo &amp; quyết định MVP</w:t>
            </w:r>
          </w:p>
        </w:tc>
      </w:tr>
    </w:tbl>
    <w:p>
      <w:pPr>
        <w:pStyle w:val="Heading2"/>
      </w:pPr>
      <w:r>
        <w:t xml:space="preserve">5.2. Ngân sách ước tính (điều chỉnh theo thực tế)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71"/>
      </w:tblGrid>
      <w:tr>
        <w:trPr>
          <w:tblHeader/>
        </w:trPr>
        <w:tc>
          <w:tcPr>
            <w:tcW w:type="dxa" w:w="34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Hạng mục</w:t>
            </w:r>
          </w:p>
        </w:tc>
        <w:tc>
          <w:tcPr>
            <w:tcW w:type="dxa" w:w="24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Ước tính</w:t>
            </w:r>
          </w:p>
        </w:tc>
        <w:tc>
          <w:tcPr>
            <w:tcW w:type="dxa" w:w="32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Ghi chú</w:t>
            </w:r>
          </w:p>
        </w:tc>
      </w:tr>
      <w:tr>
        <w:trPr>
          <w:tblHeader w:val="false"/>
        </w:trPr>
        <w:tc>
          <w:tcPr>
            <w:tcW w:type="dxa" w:w="3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Thù lao soạn &amp; thẩm định đề</w:t>
            </w:r>
          </w:p>
        </w:tc>
        <w:tc>
          <w:tcPr>
            <w:tcW w:type="dxa" w:w="2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Theo số mục × đơn giá/mục</w:t>
            </w:r>
          </w:p>
        </w:tc>
        <w:tc>
          <w:tcPr>
            <w:tcW w:type="dxa" w:w="32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Khoản lớn nhất; quyết định chất lượng</w:t>
            </w:r>
          </w:p>
        </w:tc>
      </w:tr>
      <w:tr>
        <w:trPr>
          <w:tblHeader w:val="false"/>
        </w:trPr>
        <w:tc>
          <w:tcPr>
            <w:tcW w:type="dxa" w:w="3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Token chạy baseline &amp; pilot</w:t>
            </w:r>
          </w:p>
        </w:tc>
        <w:tc>
          <w:tcPr>
            <w:tcW w:type="dxa" w:w="2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Thấp (vài triệu VND)</w:t>
            </w:r>
          </w:p>
        </w:tc>
        <w:tc>
          <w:tcPr>
            <w:tcW w:type="dxa" w:w="32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Token rẻ; chạy nhiều lần vẫn ít</w:t>
            </w:r>
          </w:p>
        </w:tc>
      </w:tr>
      <w:tr>
        <w:trPr>
          <w:tblHeader w:val="false"/>
        </w:trPr>
        <w:tc>
          <w:tcPr>
            <w:tcW w:type="dxa" w:w="3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Công cụ/hạ tầng</w:t>
            </w:r>
          </w:p>
        </w:tc>
        <w:tc>
          <w:tcPr>
            <w:tcW w:type="dxa" w:w="24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Tối thiểu</w:t>
            </w:r>
          </w:p>
        </w:tc>
        <w:tc>
          <w:tcPr>
            <w:tcW w:type="dxa" w:w="32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Sheets/JSON + script; chưa cần hạ tầng lớn</w:t>
            </w:r>
          </w:p>
        </w:tc>
      </w:tr>
      <w:tr>
        <w:trPr>
          <w:tblHeader w:val="false"/>
        </w:trPr>
        <w:tc>
          <w:tcPr>
            <w:tcW w:type="dxa" w:w="3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Tổ chức pilot</w:t>
            </w:r>
          </w:p>
        </w:tc>
        <w:tc>
          <w:tcPr>
            <w:tcW w:type="dxa" w:w="24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Thù lao điều phối + ưu đãi học sinh</w:t>
            </w:r>
          </w:p>
        </w:tc>
        <w:tc>
          <w:tcPr>
            <w:tcW w:type="dxa" w:w="32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Có thể qua 1 lớp/đối tác trường</w:t>
            </w:r>
          </w:p>
        </w:tc>
      </w:tr>
    </w:tbl>
    <w:p>
      <w:pPr>
        <w:pStyle w:val="Heading1"/>
      </w:pPr>
      <w:r>
        <w:t xml:space="preserve">6. Cổng quyết định Go/No-Go sang MVP</w:t>
      </w:r>
    </w:p>
    <w:p>
      <w:pPr>
        <w:spacing w:after="120" w:line="276"/>
      </w:pPr>
      <w:r>
        <w:t xml:space="preserve">Chỉ rót vốn xây MVP khi vượt cả ba cổng. Đây là điểm chốt giúp tránh đầu tư vào một sản phẩm không kiểm chứng được chất lượng.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4471"/>
        <w:gridCol w:w="2300"/>
      </w:tblGrid>
      <w:tr>
        <w:trPr>
          <w:tblHeader/>
        </w:trPr>
        <w:tc>
          <w:tcPr>
            <w:tcW w:type="dxa" w:w="23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Cổng</w:t>
            </w:r>
          </w:p>
        </w:tc>
        <w:tc>
          <w:tcPr>
            <w:tcW w:type="dxa" w:w="44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Tiêu chí đạt</w:t>
            </w:r>
          </w:p>
        </w:tc>
        <w:tc>
          <w:tcPr>
            <w:tcW w:type="dxa" w:w="23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Nếu KHÔNG đạt</w:t>
            </w:r>
          </w:p>
        </w:tc>
      </w:tr>
      <w:tr>
        <w:trPr>
          <w:tblHeader w:val="false"/>
        </w:trPr>
        <w:tc>
          <w:tcPr>
            <w:tcW w:type="dxa" w:w="23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G1 – Bộ chuẩn</w:t>
            </w:r>
          </w:p>
        </w:tc>
        <w:tc>
          <w:tcPr>
            <w:tcW w:type="dxa" w:w="4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 400 mục; phủ ≥ 90% chủ đề; đồng thuận đáp số ≥ 95%</w:t>
            </w:r>
          </w:p>
        </w:tc>
        <w:tc>
          <w:tcPr>
            <w:tcW w:type="dxa" w:w="23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Bổ sung/sửa bộ chuẩn trước khi tiếp</w:t>
            </w:r>
          </w:p>
        </w:tc>
      </w:tr>
      <w:tr>
        <w:trPr>
          <w:tblHeader w:val="false"/>
        </w:trPr>
        <w:tc>
          <w:tcPr>
            <w:tcW w:type="dxa" w:w="23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G2 – Độ chính xác AI</w:t>
            </w:r>
          </w:p>
        </w:tc>
        <w:tc>
          <w:tcPr>
            <w:tcW w:type="dxa" w:w="44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Trên bộ chuẩn VN, độ chính xác đáp số sau kiểm chứng ≥ ngưỡng (vd ≥ 90%)</w:t>
            </w:r>
          </w:p>
        </w:tc>
        <w:tc>
          <w:tcPr>
            <w:tcW w:type="dxa" w:w="23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Cải thiện prompt/định tuyến/kiểm chứng, chạy lại</w:t>
            </w:r>
          </w:p>
        </w:tc>
      </w:tr>
      <w:tr>
        <w:trPr>
          <w:tblHeader w:val="false"/>
        </w:trPr>
        <w:tc>
          <w:tcPr>
            <w:tcW w:type="dxa" w:w="23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G3 – Learning gain</w:t>
            </w:r>
          </w:p>
        </w:tc>
        <w:tc>
          <w:tcPr>
            <w:tcW w:type="dxa" w:w="44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⟨g⟩ nhóm dùng app &gt; đối chứng (xu hướng dương rõ ở pilot); không tụt điểm khi tắt AI</w:t>
            </w:r>
          </w:p>
        </w:tc>
        <w:tc>
          <w:tcPr>
            <w:tcW w:type="dxa" w:w="23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Điều chỉnh thiết kế sư phạm (scaffolding/chống lệ thuộc), thử lại</w:t>
            </w:r>
          </w:p>
        </w:tc>
      </w:tr>
    </w:tbl>
    <w:p>
      <w:pPr>
        <w:spacing w:after="120" w:line="276"/>
      </w:pPr>
      <w:r>
        <w:rPr>
          <w:b/>
          <w:bCs/>
          <w:sz w:val="24"/>
          <w:szCs w:val="24"/>
        </w:rPr>
        <w:t xml:space="preserve">Lưu ý: </w:t>
      </w:r>
      <w:r>
        <w:rPr>
          <w:sz w:val="24"/>
          <w:szCs w:val="24"/>
        </w:rPr>
        <w:t xml:space="preserve">G3 quan trọng hơn cả G2. Một AI chính xác nhưng khiến học sinh lệ thuộc vẫn là thất bại theo tiêu chí “vì học viên”.</w:t>
      </w:r>
    </w:p>
    <w:p>
      <w:pPr>
        <w:pStyle w:val="Heading1"/>
      </w:pPr>
      <w:r>
        <w:t xml:space="preserve">Phụ lục. Mẫu phiếu thẩm định mục chuẩn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Trường kiểm tra</w:t>
            </w:r>
          </w:p>
        </w:tc>
        <w:tc>
          <w:tcPr>
            <w:tcW w:type="dxa" w:w="6071"/>
            <w:tcBorders>
              <w:top w:val="single" w:color="B8B0A0" w:sz="1"/>
              <w:left w:val="single" w:color="B8B0A0" w:sz="1"/>
              <w:bottom w:val="single" w:color="B8B0A0" w:sz="1"/>
              <w:right w:val="single" w:color="B8B0A0" w:sz="1"/>
            </w:tcBorders>
            <w:shd w:fill="DCE6E1" w:val="clear"/>
            <w:tcMar>
              <w:top w:type="dxa" w:w="60"/>
              <w:left w:type="dxa" w:w="110"/>
              <w:bottom w:type="dxa" w:w="60"/>
              <w:right w:type="dxa" w:w="110"/>
            </w:tcMar>
            <w:vAlign w:val="center"/>
          </w:tcPr>
          <w:p>
            <w:pPr>
              <w:spacing w:after="0" w:line="264"/>
            </w:pPr>
            <w:r>
              <w:rPr>
                <w:b/>
                <w:bCs/>
                <w:sz w:val="22"/>
                <w:szCs w:val="22"/>
              </w:rPr>
              <w:t xml:space="preserve">Xác nhận</w:t>
            </w:r>
          </w:p>
        </w:tc>
      </w:tr>
      <w:tr>
        <w:trPr>
          <w:tblHeader w:val="false"/>
        </w:trPr>
        <w:tc>
          <w:tcPr>
            <w:tcW w:type="dxa" w:w="30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Đề rõ ràng, đúng chương trình</w:t>
            </w:r>
          </w:p>
        </w:tc>
        <w:tc>
          <w:tcPr>
            <w:tcW w:type="dxa" w:w="60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Đạt / Không</w:t>
            </w:r>
          </w:p>
        </w:tc>
      </w:tr>
      <w:tr>
        <w:trPr>
          <w:tblHeader w:val="false"/>
        </w:trPr>
        <w:tc>
          <w:tcPr>
            <w:tcW w:type="dxa" w:w="30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Đáp số đúng (đã tự kiểm)</w:t>
            </w:r>
          </w:p>
        </w:tc>
        <w:tc>
          <w:tcPr>
            <w:tcW w:type="dxa" w:w="60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Đạt / Không</w:t>
            </w:r>
          </w:p>
        </w:tc>
      </w:tr>
      <w:tr>
        <w:trPr>
          <w:tblHeader w:val="false"/>
        </w:trPr>
        <w:tc>
          <w:tcPr>
            <w:tcW w:type="dxa" w:w="30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Lời giải mẫu chặt chẽ, đúng barem</w:t>
            </w:r>
          </w:p>
        </w:tc>
        <w:tc>
          <w:tcPr>
            <w:tcW w:type="dxa" w:w="60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Đạt / Không</w:t>
            </w:r>
          </w:p>
        </w:tc>
      </w:tr>
      <w:tr>
        <w:trPr>
          <w:tblHeader w:val="false"/>
        </w:trPr>
        <w:tc>
          <w:tcPr>
            <w:tcW w:type="dxa" w:w="30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Liệt kê sai lầm phổ biến</w:t>
            </w:r>
          </w:p>
        </w:tc>
        <w:tc>
          <w:tcPr>
            <w:tcW w:type="dxa" w:w="60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Đạt / Không</w:t>
            </w:r>
          </w:p>
        </w:tc>
      </w:tr>
      <w:tr>
        <w:trPr>
          <w:tblHeader w:val="false"/>
        </w:trPr>
        <w:tc>
          <w:tcPr>
            <w:tcW w:type="dxa" w:w="3000"/>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Kiểm chứng SymPy (nếu áp dụng)</w:t>
            </w:r>
          </w:p>
        </w:tc>
        <w:tc>
          <w:tcPr>
            <w:tcW w:type="dxa" w:w="6071"/>
            <w:tcBorders>
              <w:top w:val="single" w:color="B8B0A0" w:sz="1"/>
              <w:left w:val="single" w:color="B8B0A0" w:sz="1"/>
              <w:bottom w:val="single" w:color="B8B0A0" w:sz="1"/>
              <w:right w:val="single" w:color="B8B0A0" w:sz="1"/>
            </w:tcBorders>
            <w:tcMar>
              <w:top w:type="dxa" w:w="60"/>
              <w:left w:type="dxa" w:w="110"/>
              <w:bottom w:type="dxa" w:w="60"/>
              <w:right w:type="dxa" w:w="110"/>
            </w:tcMar>
            <w:vAlign w:val="center"/>
          </w:tcPr>
          <w:p>
            <w:pPr>
              <w:spacing w:after="0" w:line="264"/>
            </w:pPr>
            <w:r>
              <w:rPr>
                <w:b w:val="false"/>
                <w:bCs w:val="false"/>
                <w:sz w:val="22"/>
                <w:szCs w:val="22"/>
              </w:rPr>
              <w:t xml:space="preserve">Đạt / Không / N/A</w:t>
            </w:r>
          </w:p>
        </w:tc>
      </w:tr>
      <w:tr>
        <w:trPr>
          <w:tblHeader w:val="false"/>
        </w:trPr>
        <w:tc>
          <w:tcPr>
            <w:tcW w:type="dxa" w:w="3000"/>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Nguồn &amp; bản quyền hợp lệ</w:t>
            </w:r>
          </w:p>
        </w:tc>
        <w:tc>
          <w:tcPr>
            <w:tcW w:type="dxa" w:w="6071"/>
            <w:tcBorders>
              <w:top w:val="single" w:color="B8B0A0" w:sz="1"/>
              <w:left w:val="single" w:color="B8B0A0" w:sz="1"/>
              <w:bottom w:val="single" w:color="B8B0A0" w:sz="1"/>
              <w:right w:val="single" w:color="B8B0A0" w:sz="1"/>
            </w:tcBorders>
            <w:shd w:fill="F4F1EA" w:val="clear"/>
            <w:tcMar>
              <w:top w:type="dxa" w:w="60"/>
              <w:left w:type="dxa" w:w="110"/>
              <w:bottom w:type="dxa" w:w="60"/>
              <w:right w:type="dxa" w:w="110"/>
            </w:tcMar>
            <w:vAlign w:val="center"/>
          </w:tcPr>
          <w:p>
            <w:pPr>
              <w:spacing w:after="0" w:line="264"/>
            </w:pPr>
            <w:r>
              <w:rPr>
                <w:b w:val="false"/>
                <w:bCs w:val="false"/>
                <w:sz w:val="22"/>
                <w:szCs w:val="22"/>
              </w:rPr>
              <w:t xml:space="preserve">Đạt / Không</w:t>
            </w:r>
          </w:p>
        </w:tc>
      </w:tr>
    </w:tbl>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1"/>
      </w:tabs>
    </w:pPr>
    <w:r>
      <w:rPr>
        <w:color w:val="777777"/>
        <w:sz w:val="18"/>
        <w:szCs w:val="18"/>
      </w:rPr>
      <w:t xml:space="preserve">Tài liệu nội bộ</w:t>
    </w:r>
    <w:r>
      <w:rPr>
        <w:color w:val="777777"/>
        <w:sz w:val="18"/>
        <w:szCs w:val="18"/>
      </w:rPr>
      <w:t xml:space="preserve">	Trang </w:t>
    </w:r>
    <w:r>
      <w:rPr>
        <w:color w:val="777777"/>
        <w:sz w:val="18"/>
        <w:szCs w:val="18"/>
      </w:rPr>
      <w:fldChar w:fldCharType="begin"/>
      <w:instrText xml:space="preserve">PAGE</w:instrText>
      <w:fldChar w:fldCharType="separate"/>
      <w:fldChar w:fldCharType="end"/>
    </w:r>
    <w:r>
      <w:rPr>
        <w:color w:val="777777"/>
        <w:sz w:val="18"/>
        <w:szCs w:val="18"/>
      </w:rPr>
      <w:t xml:space="preserve"> /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8A2B" w:sz="4" w:space="4"/>
      </w:pBdr>
      <w:tabs>
        <w:tab w:val="right" w:pos="9071"/>
      </w:tabs>
      <w:spacing w:after="0"/>
    </w:pPr>
    <w:r>
      <w:rPr>
        <w:color w:val="777777"/>
        <w:sz w:val="18"/>
        <w:szCs w:val="18"/>
      </w:rPr>
      <w:t xml:space="preserve">Kế hoạch Giai đoạn 0 – Gia sư AI</w:t>
    </w:r>
    <w:r>
      <w:rPr>
        <w:color w:val="777777"/>
        <w:sz w:val="18"/>
        <w:szCs w:val="18"/>
      </w:rPr>
      <w:t xml:space="preserve">	Tiền đề trước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63A3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A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Giai đoạn 0 - Gia sư AI</dc:title>
  <dc:creator>Mr. Lâm</dc:creator>
  <cp:lastModifiedBy>Un-named</cp:lastModifiedBy>
  <cp:revision>1</cp:revision>
  <dcterms:created xsi:type="dcterms:W3CDTF">2026-06-25T06:25:53.082Z</dcterms:created>
  <dcterms:modified xsi:type="dcterms:W3CDTF">2026-06-25T06:25:53.100Z</dcterms:modified>
</cp:coreProperties>
</file>

<file path=docProps/custom.xml><?xml version="1.0" encoding="utf-8"?>
<Properties xmlns="http://schemas.openxmlformats.org/officeDocument/2006/custom-properties" xmlns:vt="http://schemas.openxmlformats.org/officeDocument/2006/docPropsVTypes"/>
</file>