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450"/>
        <w:jc w:val="center"/>
      </w:pPr>
      <w:r>
        <w:rPr>
          <w:b/>
          <w:bCs/>
          <w:color w:val="163A30"/>
          <w:sz w:val="50"/>
          <w:szCs w:val="50"/>
        </w:rPr>
        <w:t xml:space="preserve">KẾ HOẠCH TRIỂN KHAI</w:t>
      </w:r>
    </w:p>
    <w:p>
      <w:pPr>
        <w:spacing w:after="80"/>
        <w:jc w:val="center"/>
      </w:pPr>
      <w:r>
        <w:rPr>
          <w:b/>
          <w:bCs/>
          <w:color w:val="C98A2B"/>
          <w:sz w:val="28"/>
          <w:szCs w:val="28"/>
        </w:rPr>
        <w:t xml:space="preserve">CÁC GIAI ĐOẠN: MVP → GĐ2 → GĐ3</w:t>
      </w:r>
    </w:p>
    <w:p>
      <w:pPr>
        <w:spacing w:after="700" w:before="460"/>
        <w:jc w:val="center"/>
      </w:pPr>
      <w:r>
        <w:rPr>
          <w:sz w:val="24"/>
          <w:szCs w:val="24"/>
        </w:rPr>
        <w:t xml:space="preserve">Nền tảng Gia sư AI — tiếp nối sau Giai đoạn 0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</w:tblGrid>
      <w:tr>
        <w:tc>
          <w:tcPr>
            <w:tcW w:type="dxa" w:w="26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Phiên bản</w:t>
            </w:r>
          </w:p>
        </w:tc>
        <w:tc>
          <w:tcPr>
            <w:tcW w:type="dxa" w:w="4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Ngày</w:t>
            </w:r>
          </w:p>
        </w:tc>
        <w:tc>
          <w:tcPr>
            <w:tcW w:type="dxa" w:w="4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Tháng 6, 2026</w:t>
            </w:r>
          </w:p>
        </w:tc>
      </w:tr>
      <w:tr>
        <w:tc>
          <w:tcPr>
            <w:tcW w:type="dxa" w:w="26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Người soạn</w:t>
            </w:r>
          </w:p>
        </w:tc>
        <w:tc>
          <w:tcPr>
            <w:tcW w:type="dxa" w:w="4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Mr. Lâm</w:t>
            </w:r>
          </w:p>
        </w:tc>
      </w:tr>
      <w:tr>
        <w:tc>
          <w:tcPr>
            <w:tcW w:type="dxa" w:w="26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Liên quan</w:t>
            </w:r>
          </w:p>
        </w:tc>
        <w:tc>
          <w:tcPr>
            <w:tcW w:type="dxa" w:w="4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SRS v2.2, Mô hình KT v1.1, Kế hoạch GĐ0, CLAUDE.md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Tổng quan &amp; nguyên tắc xuyên suốt</w:t>
      </w:r>
    </w:p>
    <w:p>
      <w:pPr>
        <w:spacing w:after="120" w:line="276"/>
      </w:pPr>
      <w:r>
        <w:t xml:space="preserve">Tài liệu chi tiết hóa ba giai đoạn sau Giai đoạn 0. Mỗi giai đoạn có một CỔNG RA: chỉ chuyển tiếp khi vượt cổng, tránh mở rộng phạm vi khi chưa kiểm chứng được chất lượng.</w:t>
      </w:r>
    </w:p>
    <w:p>
      <w:pPr>
        <w:spacing w:after="120" w:line="276"/>
      </w:pPr>
      <w:r>
        <w:rPr>
          <w:b/>
          <w:bCs/>
          <w:sz w:val="24"/>
          <w:szCs w:val="24"/>
        </w:rPr>
        <w:t xml:space="preserve">Nguyên tắc áp dụng cho mọi giai đoạn: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Giữ trọn 9 nguyên tắc bất biến (CLAUDE.md): gợi mở không giải hộ, north star = learning gain, ẩn khóa LLM, trung thực phạm vi kiểm chứng, định tuyến theo benchmark, an toàn trẻ vị thành niên…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Learning gain (đo khi tắt AI) được đo LIÊN TỤC mỗi giai đoạn và là điều kiện ra cổng — không dùng engagement làm thước đo.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Kỷ luật chi phí theo phát hiện kinh tế: đại trà siết gói free + đẩy chuyển đổi; tinh hoa tiết chế HLV + định giá cao.</w:t>
      </w:r>
    </w:p>
    <w:p>
      <w:pPr>
        <w:pStyle w:val="Heading2"/>
      </w:pPr>
      <w:r>
        <w:t xml:space="preserve">1.1. Bảng tổng hợp giai đoạn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50"/>
        <w:gridCol w:w="2600"/>
        <w:gridCol w:w="1300"/>
        <w:gridCol w:w="1321"/>
      </w:tblGrid>
      <w:tr>
        <w:trPr>
          <w:tblHeader/>
        </w:trPr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255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Mục tiêu</w:t>
            </w:r>
          </w:p>
        </w:tc>
        <w:tc>
          <w:tcPr>
            <w:tcW w:type="dxa" w:w="26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Nhóm FR chính</w:t>
            </w:r>
          </w:p>
        </w:tc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Thời lượng</w:t>
            </w:r>
          </w:p>
        </w:tc>
        <w:tc>
          <w:tcPr>
            <w:tcW w:type="dxa" w:w="132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Cổng ra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GĐ 0</w:t>
            </w:r>
          </w:p>
        </w:tc>
        <w:tc>
          <w:tcPr>
            <w:tcW w:type="dxa" w:w="255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Đo lường &amp; dữ liệu nền</w:t>
            </w:r>
          </w:p>
        </w:tc>
        <w:tc>
          <w:tcPr>
            <w:tcW w:type="dxa" w:w="26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Bộ chuẩn VN, khung đo</w:t>
            </w:r>
          </w:p>
        </w:tc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8–10 tuần</w:t>
            </w:r>
          </w:p>
        </w:tc>
        <w:tc>
          <w:tcPr>
            <w:tcW w:type="dxa" w:w="132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G1–G3 (đã có)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MVP</w:t>
            </w:r>
          </w:p>
        </w:tc>
        <w:tc>
          <w:tcPr>
            <w:tcW w:type="dxa" w:w="255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Lõi + Đại trà, kiểm chứng learning gain</w:t>
            </w:r>
          </w:p>
        </w:tc>
        <w:tc>
          <w:tcPr>
            <w:tcW w:type="dxa" w:w="26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FR-C, FR-M(lõi), FR-L(lõi), FR-F(cơ bản)</w:t>
            </w:r>
          </w:p>
        </w:tc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12–16 tuần</w:t>
            </w:r>
          </w:p>
        </w:tc>
        <w:tc>
          <w:tcPr>
            <w:tcW w:type="dxa" w:w="132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M-gate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GĐ 2</w:t>
            </w:r>
          </w:p>
        </w:tc>
        <w:tc>
          <w:tcPr>
            <w:tcW w:type="dxa" w:w="255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Lớp Tinh hoa + chiều sâu đại trà</w:t>
            </w:r>
          </w:p>
        </w:tc>
        <w:tc>
          <w:tcPr>
            <w:tcW w:type="dxa" w:w="26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FR-E(lõi), FR-M04, FR-L(còn lại), FR-F(cộng đồng)</w:t>
            </w:r>
          </w:p>
        </w:tc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16–24 tuần</w:t>
            </w:r>
          </w:p>
        </w:tc>
        <w:tc>
          <w:tcPr>
            <w:tcW w:type="dxa" w:w="132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E-gate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GĐ 3</w:t>
            </w:r>
          </w:p>
        </w:tc>
        <w:tc>
          <w:tcPr>
            <w:tcW w:type="dxa" w:w="255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Nâng cao &amp; mở rộng</w:t>
            </w:r>
          </w:p>
        </w:tc>
        <w:tc>
          <w:tcPr>
            <w:tcW w:type="dxa" w:w="26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FR-E06/07/09/10, mở rộng môn</w:t>
            </w:r>
          </w:p>
        </w:tc>
        <w:tc>
          <w:tcPr>
            <w:tcW w:type="dxa" w:w="1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Cuốn chiếu</w:t>
            </w:r>
          </w:p>
        </w:tc>
        <w:tc>
          <w:tcPr>
            <w:tcW w:type="dxa" w:w="132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ROI từng cái</w:t>
            </w:r>
          </w:p>
        </w:tc>
      </w:tr>
    </w:tbl>
    <w:p>
      <w:pPr>
        <w:pStyle w:val="Heading1"/>
      </w:pPr>
      <w:r>
        <w:t xml:space="preserve">2. MVP (Giai đoạn 1) — Lõi + Đại trà</w:t>
      </w:r>
    </w:p>
    <w:p>
      <w:pPr>
        <w:pStyle w:val="Heading2"/>
      </w:pPr>
      <w:r>
        <w:t xml:space="preserve">Mục tiêu</w:t>
      </w:r>
    </w:p>
    <w:p>
      <w:pPr>
        <w:spacing w:after="120" w:line="276"/>
      </w:pPr>
      <w:r>
        <w:t xml:space="preserve">Kiểm chứng giá trị, độ tin cậy và learning gain ở phân khúc đại trà, đồng thời tạo dòng tiền sớm. Phạm vi học cố tình HẸP (Toán 12, 1–2 chương trọng tâm) để đo nhanh và rõ.</w:t>
      </w:r>
    </w:p>
    <w:p>
      <w:pPr>
        <w:pStyle w:val="Heading2"/>
      </w:pPr>
      <w:r>
        <w:t xml:space="preserve">Phạm vi &amp; yêu cầu (FR)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Nhóm / mã FR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FR-C01–C12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Nền tảng: tài khoản/RBAC, hội thoại streaming, OCR→LaTeX, KaTeX, router, kiểm chứng, gói/hạn mức/thanh toán, quản trị, lớp trừu tượng đổi model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FR-M01,M02,M03,M05,M06,M07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“Thầy An”: gợi mở + scaffolding thích ứng, kiểm chứng SymPy, ngân hàng đề (1–2 chương), freemium siết, từ chối ngoài phạm vi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FR-L01,L02,L03,L04,L08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Chẩn đoán trình độ, scaffolding mờ dần, cổng nỗ lực, tiết chế gợi ý, an toàn hiểu lầm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FR-F01,F02,F05,F06,F07,F08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Kênh phản ánh cơ bản: gửi, hiển thị blog, đội ngũ trả lời + trạng thái, phân quyền, kiểm duyệt</w:t>
            </w:r>
          </w:p>
        </w:tc>
      </w:tr>
    </w:tbl>
    <w:p>
      <w:pPr>
        <w:pStyle w:val="Heading2"/>
      </w:pPr>
      <w:r>
        <w:t xml:space="preserve">Đầu ra chính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App web mobile-first chạy thật (chat + nhập ảnh + render công thức).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Router tuyến đầu + bậc cân bằng/rẻ; lớp kiểm chứng SymPy; freemium + VietQR.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Kênh phản ánh cơ bản; bảng giám sát chi phí token + learning gain (dùng harness GĐ0).</w:t>
      </w:r>
    </w:p>
    <w:p>
      <w:pPr>
        <w:pStyle w:val="Heading2"/>
      </w:pPr>
      <w:r>
        <w:t xml:space="preserve">Nhân sự</w:t>
      </w:r>
    </w:p>
    <w:p>
      <w:pPr>
        <w:spacing w:after="120" w:line="276"/>
      </w:pPr>
      <w:r>
        <w:t xml:space="preserve">≈ 5–7 người: 1 chủ sản phẩm/PM, 1–2 frontend, 1–2 backend/AI, 1 nội dung sư phạm, 1 QA.</w:t>
      </w:r>
    </w:p>
    <w:p>
      <w:pPr>
        <w:pStyle w:val="Heading2"/>
      </w:pPr>
      <w:r>
        <w:t xml:space="preserve">Mốc thời gian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171"/>
      </w:tblGrid>
      <w:tr>
        <w:trPr>
          <w:tblHeader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Mốc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Hoạt động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Đầu ra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Tuần 1–3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Dựng nền tảng (auth, router, khung kiểm chứng), khung UI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Bộ khung chạy được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Tuần 4–8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Tích hợp “Thầy An” + SymPy + scaffolding + OCR; nạp 1–2 chương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Luồng học hoàn chỉnh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Tuần 8–12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Freemium + thanh toán + kênh phản ánh; đo lường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Bản dùng được + dashboard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Tuần 12–16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Pilot cohort thật + đo learning gain (harness GĐ0); chỉnh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Báo cáo &amp; quyết định M-gate</w:t>
            </w:r>
          </w:p>
        </w:tc>
      </w:tr>
    </w:tbl>
    <w:p>
      <w:pPr>
        <w:pStyle w:val="Heading2"/>
      </w:pPr>
      <w:r>
        <w:t xml:space="preserve">Ngân sách (định hướng)</w:t>
      </w:r>
    </w:p>
    <w:p>
      <w:pPr>
        <w:spacing w:after="120" w:line="276"/>
      </w:pPr>
      <w:r>
        <w:t xml:space="preserve">Chủ yếu là lương đội ngũ (~3–4 tháng); token rẻ (định tuyến bậc rẻ + cache); hạ tầng tối thiểu. Tham chiếu mô hình kinh tế v1.1, sheet GiaDinh mục G.</w:t>
      </w:r>
    </w:p>
    <w:p>
      <w:pPr>
        <w:pStyle w:val="Heading2"/>
      </w:pPr>
      <w:r>
        <w:t xml:space="preserve">Cổng ra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1"/>
      </w:tblGrid>
      <w:tr>
        <w:trPr>
          <w:tblHeader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Ngưỡng / yêu cầu đạt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Learning gain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Cohort dùng app &gt; đối chứng (đo qua harness GĐ0); KHÔNG tụt điểm khi tắt AI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Độ chính xác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Trên bộ chuẩn VN, độ chính xác đáp số sau kiểm chứng đạt ngưỡng vận hành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Đơn vị kinh tế đại trà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Có đường tới dương: gói free đã siết, chuyển đổi ≥ mục tiêu, đóng góp/người trả phí (sau free-burn) dương hoặc lộ trình rõ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Vận hành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Ổn định; an toàn nội dung người dùng; không lộ khóa API</w:t>
            </w:r>
          </w:p>
        </w:tc>
      </w:tr>
    </w:tbl>
    <w:p>
      <w:pPr>
        <w:pStyle w:val="Heading2"/>
      </w:pPr>
      <w:r>
        <w:t xml:space="preserve">Rủi ro chính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OCR chữ viết tay sai → bắt buộc bước xác nhận lại đề (FR-C05).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Chuyển đổi thấp + chi phí gói free → siết free, cân nhắc hard paywall.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Lệch chương trình → dựa bộ chuẩn GĐ0, giáo viên rà.</w:t>
      </w:r>
    </w:p>
    <w:p>
      <w:pPr>
        <w:pStyle w:val="Heading1"/>
      </w:pPr>
      <w:r>
        <w:t xml:space="preserve">3. Giai đoạn 2 — Lớp Tinh hoa + chiều sâu đại trà</w:t>
      </w:r>
    </w:p>
    <w:p>
      <w:pPr>
        <w:pStyle w:val="Heading2"/>
      </w:pPr>
      <w:r>
        <w:t xml:space="preserve">Mục tiêu</w:t>
      </w:r>
    </w:p>
    <w:p>
      <w:pPr>
        <w:spacing w:after="120" w:line="276"/>
      </w:pPr>
      <w:r>
        <w:t xml:space="preserve">Thêm phân khúc tinh hoa giá trị cao (bán B2B trường chuyên/đội tuyển) và làm sâu trải nghiệm đại trà (chấm barem, ôn tập truy hồi, cộng đồng). Phân khúc tinh hoa chỉ khả thi khi gắn với ≥1 đối tác B2B và tiết chế HLV.</w:t>
      </w:r>
    </w:p>
    <w:p>
      <w:pPr>
        <w:pStyle w:val="Heading2"/>
      </w:pPr>
      <w:r>
        <w:t xml:space="preserve">Phạm vi &amp; yêu cầu (FR)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Nhóm / mã FR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FR-E01–E05, E08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“Giáo sư Ngô”: persona, Strategy Tree, phản biện chứng minh, kiểm chứng (RAG + cross-check + người duyệt), RAG kho đề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FR-M04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Chấm bài theo bước/barem (đại trà)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FR-L05,L06,L07,L09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Ôn tập truy hồi + giãn cách, kiểm tra tắt-AI định kỳ, bảng tỷ lệ tự giải, hiệu chỉnh giọng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FR-F03,F04,F09,F10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Cộng đồng: bình luận, đồng tình, liên kết phản ánh–lớp kiểm chứng, thông báo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FR-C09, phụ huynh, phân tích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Tiến độ nâng cao, khu phụ huynh (báo cáo/quản lý gói), bảng phân tích</w:t>
            </w:r>
          </w:p>
        </w:tc>
      </w:tr>
    </w:tbl>
    <w:p>
      <w:pPr>
        <w:pStyle w:val="Heading2"/>
      </w:pPr>
      <w:r>
        <w:t xml:space="preserve">Đầu ra chính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Persona “Giáo sư Ngô” + giao diện Strategy Tree; cross-check đa mô hình + RAG + quy trình HLV duyệt.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Module ôn tập truy hồi; chấm barem; cộng đồng phản ánh; khu phụ huynh; analytics.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≥ 1 hợp đồng B2B trường chuyên/đội tuyển làm pilot tinh hoa.</w:t>
      </w:r>
    </w:p>
    <w:p>
      <w:pPr>
        <w:pStyle w:val="Heading2"/>
      </w:pPr>
      <w:r>
        <w:t xml:space="preserve">Nhân sự</w:t>
      </w:r>
    </w:p>
    <w:p>
      <w:pPr>
        <w:spacing w:after="120" w:line="276"/>
      </w:pPr>
      <w:r>
        <w:t xml:space="preserve">Mở rộng: thêm HLV/giáo viên Olympiad cộng tác (duyệt), 1 kỹ sư RAG/AI, 1 phụ trách bán B2B; giữ đội đại trà.</w:t>
      </w:r>
    </w:p>
    <w:p>
      <w:pPr>
        <w:pStyle w:val="Heading2"/>
      </w:pPr>
      <w:r>
        <w:t xml:space="preserve">Mốc thời gian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171"/>
      </w:tblGrid>
      <w:tr>
        <w:trPr>
          <w:tblHeader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Mốc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Hoạt động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Đầu ra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Tuần 1–6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Dựng RAG + cross-check + quy trình HLV; persona Giáo sư Ngô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Lõi kiểm chứng tinh hoa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Tuần 5–12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Strategy Tree; chấm barem; ôn tập truy hồi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Tính năng sâu hoàn chỉnh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Tuần 10–18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Cộng đồng phản ánh + liên kết kiểm chứng; khu phụ huynh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Hệ sinh thái mở rộng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Tuần 14–24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Pilot B2B tinh hoa; đo learning gain cả hai phân khúc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Báo cáo &amp; quyết định E-gate</w:t>
            </w:r>
          </w:p>
        </w:tc>
      </w:tr>
    </w:tbl>
    <w:p>
      <w:pPr>
        <w:pStyle w:val="Heading2"/>
      </w:pPr>
      <w:r>
        <w:t xml:space="preserve">Ngân sách (định hướng)</w:t>
      </w:r>
    </w:p>
    <w:p>
      <w:pPr>
        <w:spacing w:after="120" w:line="276"/>
      </w:pPr>
      <w:r>
        <w:t xml:space="preserve">Tăng: thù lao HLV (chi phí biến đổi theo số câu duyệt — phải tiết chế), hạ tầng RAG, chi phí bán B2B. Tham chiếu mô hình v1.1, sheet TinhHoa (mục H).</w:t>
      </w:r>
    </w:p>
    <w:p>
      <w:pPr>
        <w:pStyle w:val="Heading2"/>
      </w:pPr>
      <w:r>
        <w:t xml:space="preserve">Cổng ra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1"/>
      </w:tblGrid>
      <w:tr>
        <w:trPr>
          <w:tblHeader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Ngưỡng / yêu cầu đạt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Kinh tế tinh hoa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1 hợp đồng B2B; đơn vị kinh tế dương (HLV tiết chế, định giá đúng, có giới hạn câu)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Chất lượng kiểm chứng chứng minh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Tỷ lệ phát hiện lỗi gài đạt ngưỡng; tỷ lệ báo sai (false positive) thấp; HITL vận hành ổn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Đại trà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Mở rộng môn/chương ổn định; learning gain duy trì dương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Cộng đồng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Kênh phản ánh có kiểm duyệt hiệu quả; vòng phản ánh→sửa→kiểm chứng vận hành</w:t>
            </w:r>
          </w:p>
        </w:tc>
      </w:tr>
    </w:tbl>
    <w:p>
      <w:pPr>
        <w:pStyle w:val="Heading2"/>
      </w:pPr>
      <w:r>
        <w:t xml:space="preserve">Rủi ro chính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Kinh tế tinh hoa lỗ do HLV + cross-check → quản chặt tỷ lệ duyệt, định giá cao, giới hạn câu.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Chu kỳ bán B2B chậm → bắt đầu tiếp cận trường từ sớm trong giai đoạn.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Kiểm chứng chứng minh khó → kết hợp RAG + đa model + người duyệt; trung thực độ tin cậy.</w:t>
      </w:r>
    </w:p>
    <w:p>
      <w:pPr>
        <w:pStyle w:val="Heading1"/>
      </w:pPr>
      <w:r>
        <w:t xml:space="preserve">4. Giai đoạn 3 — Năng lực nâng cao &amp; mở rộng</w:t>
      </w:r>
    </w:p>
    <w:p>
      <w:pPr>
        <w:pStyle w:val="Heading2"/>
      </w:pPr>
      <w:r>
        <w:t xml:space="preserve">Mục tiêu</w:t>
      </w:r>
    </w:p>
    <w:p>
      <w:pPr>
        <w:spacing w:after="120" w:line="276"/>
      </w:pPr>
      <w:r>
        <w:t xml:space="preserve">Nâng năng lực kỹ thuật cao cấp và mở rộng phạm vi môn/lớp để tăng moat. Mỗi năng lực là một dự án con, làm CUỐN CHIẾU theo nhu cầu/đối tác và ROI riêng — không làm đồng loạt.</w:t>
      </w:r>
    </w:p>
    <w:p>
      <w:pPr>
        <w:pStyle w:val="Heading2"/>
      </w:pPr>
      <w:r>
        <w:t xml:space="preserve">Phạm vi &amp; yêu cầu (FR)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Nhóm / mã FR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FR-E07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Sandbox IDE C++/Python + Virtual Judge (Big Test, TLE/MLE, phân tích O(N)) cho môn Tin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FR-E06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Proof assistant (Lean/Coq) cho lớp bài hình thức hóa được — phạm vi hẹp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FR-E09, E10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Dịch tài liệu đề đa ngôn ngữ; xuất chuyên luận học thuật (tự đánh số định lí/bổ đề)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Mở rộng &amp; tính năng phụ</w:t>
            </w:r>
          </w:p>
        </w:tc>
        <w:tc>
          <w:tcPr>
            <w:tcW w:type="dxa" w:w="68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Thêm môn (Hóa) / lớp (10, 11); FR-F11 chống trùng lặp; TTS, bàn phím công thức, nhắc học, khuyến mãi, đăng nhập mạng xã hội</w:t>
            </w:r>
          </w:p>
        </w:tc>
      </w:tr>
    </w:tbl>
    <w:p>
      <w:pPr>
        <w:pStyle w:val="Heading2"/>
      </w:pPr>
      <w:r>
        <w:t xml:space="preserve">Đầu ra chính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Virtual Judge an toàn (sandbox cô lập) cho đội tuyển Tin.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Proof assistant phạm vi hẹp; dịch tài liệu; xuất paper học thuật.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Mở rộng môn/lớp theo nhu cầu thị trường.</w:t>
      </w:r>
    </w:p>
    <w:p>
      <w:pPr>
        <w:pStyle w:val="Heading2"/>
      </w:pPr>
      <w:r>
        <w:t xml:space="preserve">Nhân sự</w:t>
      </w:r>
    </w:p>
    <w:p>
      <w:pPr>
        <w:spacing w:after="120" w:line="276"/>
      </w:pPr>
      <w:r>
        <w:t xml:space="preserve">Thêm kỹ sư hệ thống chấm/sandbox; chuyên gia formal methods (Lean) — hiếm &amp; đắt, chỉ tuyển khi có nhu cầu thực.</w:t>
      </w:r>
    </w:p>
    <w:p>
      <w:pPr>
        <w:pStyle w:val="Heading2"/>
      </w:pPr>
      <w:r>
        <w:t xml:space="preserve">Mốc thời gian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171"/>
      </w:tblGrid>
      <w:tr>
        <w:trPr>
          <w:tblHeader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Mốc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Hoạt động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Đầu ra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Cuốn chiếu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Mỗi năng lực 8–16 tuần, khởi động khi có nhu cầu/đối tác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Từng năng lực hoàn chỉnh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Ví dụ</w:t>
            </w:r>
          </w:p>
        </w:tc>
        <w:tc>
          <w:tcPr>
            <w:tcW w:type="dxa" w:w="44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Virtual Judge khi có hợp đồng đội tuyển Tin</w:t>
            </w:r>
          </w:p>
        </w:tc>
        <w:tc>
          <w:tcPr>
            <w:tcW w:type="dxa" w:w="31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Hệ chấm code vận hành</w:t>
            </w:r>
          </w:p>
        </w:tc>
      </w:tr>
    </w:tbl>
    <w:p>
      <w:pPr>
        <w:pStyle w:val="Heading2"/>
      </w:pPr>
      <w:r>
        <w:t xml:space="preserve">Ngân sách (định hướng)</w:t>
      </w:r>
    </w:p>
    <w:p>
      <w:pPr>
        <w:spacing w:after="120" w:line="276"/>
      </w:pPr>
      <w:r>
        <w:t xml:space="preserve">Cao cho Virtual Judge và Lean/Coq; cân nhắc ROI từng tính năng. Ưu tiên cái có đối tác/nhu cầu rõ trước.</w:t>
      </w:r>
    </w:p>
    <w:p>
      <w:pPr>
        <w:pStyle w:val="Heading2"/>
      </w:pPr>
      <w:r>
        <w:t xml:space="preserve">Cổng ra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1"/>
      </w:tblGrid>
      <w:tr>
        <w:trPr>
          <w:tblHeader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Ngưỡng / yêu cầu đạt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ROI từng năng lực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Chỉ triển khai khi có nhu cầu/đối tác và ước tính ROI dương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An toàn (nếu làm Judge)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Sandbox cô lập đạt kiểm thử bảo mật trước khi mở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Giữ nguyên tắc</w:t>
            </w:r>
          </w:p>
        </w:tc>
        <w:tc>
          <w:tcPr>
            <w:tcW w:type="dxa" w:w="57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Mọi năng lực mới vẫn tuân 9 nguyên tắc bất biến + đo learning gain</w:t>
            </w:r>
          </w:p>
        </w:tc>
      </w:tr>
    </w:tbl>
    <w:p>
      <w:pPr>
        <w:pStyle w:val="Heading2"/>
      </w:pPr>
      <w:r>
        <w:t xml:space="preserve">Rủi ro chính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Bảo mật sandbox Virtual Judge (thực thi mã người dùng) — rủi ro cao, kiểm thử kỹ.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Lean/Coq phạm vi hẹp &amp; khó tự động hóa → kỳ vọng thực tế, làm có chọn lọc.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ROI một số tính năng phụ thấp → đừng làm vì “cho đủ”, làm theo nhu cầu.</w:t>
      </w:r>
    </w:p>
    <w:p>
      <w:pPr>
        <w:pStyle w:val="Heading1"/>
      </w:pPr>
      <w:r>
        <w:t xml:space="preserve">5. Phụ thuộc &amp; thứ tự ưu tiên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GĐ0 là tiền đề của tất cả: không có bộ chuẩn + khung đo thì không qua được M-gate.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MVP (đại trà) đi trước để xây dòng tiền và kiểm chứng độ tin cậy/learning gain trên lõi chung.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4"/>
          <w:szCs w:val="24"/>
        </w:rPr>
        <w:t xml:space="preserve">Ngoại lệ fast-track: </w:t>
      </w:r>
      <w:r>
        <w:rPr>
          <w:sz w:val="24"/>
          <w:szCs w:val="24"/>
        </w:rPr>
        <w:t xml:space="preserve">nếu có đối tác B2B trường chuyên cam kết sớm, có thể đẩy phần tinh hoa của GĐ2 lên song song — vì tinh hoa không vướng bài toán free-burn của đại trà.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4"/>
          <w:szCs w:val="24"/>
        </w:rPr>
        <w:t xml:space="preserve">GĐ3 luôn cuốn chiếu theo nhu cầu; không phải mọi tính năng đều cần làm.</w:t>
      </w:r>
    </w:p>
    <w:p>
      <w:pPr>
        <w:pStyle w:val="Heading1"/>
      </w:pPr>
      <w:r>
        <w:t xml:space="preserve">Phụ lục. Ánh xạ nhóm FR theo giai đoạn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1"/>
      </w:tblGrid>
      <w:tr>
        <w:trPr>
          <w:tblHeader/>
        </w:trPr>
        <w:tc>
          <w:tcPr>
            <w:tcW w:type="dxa" w:w="20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70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DCE6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2"/>
                <w:szCs w:val="22"/>
              </w:rPr>
              <w:t xml:space="preserve">Nhóm/mã FR chính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MVP</w:t>
            </w:r>
          </w:p>
        </w:tc>
        <w:tc>
          <w:tcPr>
            <w:tcW w:type="dxa" w:w="70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FR-C01–C12; FR-M01,M02,M03,M05,M06,M07; FR-L01,L02,L03,L04,L08; FR-F01,F02,F05,F06,F07,F08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GĐ2</w:t>
            </w:r>
          </w:p>
        </w:tc>
        <w:tc>
          <w:tcPr>
            <w:tcW w:type="dxa" w:w="70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FR-E01–E05,E08; FR-M04; FR-L05,L06,L07,L09; FR-F03,F04,F09,F10; FR-C09 + phụ huynh + phân tích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GĐ3</w:t>
            </w:r>
          </w:p>
        </w:tc>
        <w:tc>
          <w:tcPr>
            <w:tcW w:type="dxa" w:w="7071"/>
            <w:tcBorders>
              <w:top w:val="single" w:color="B8B0A0" w:sz="1"/>
              <w:left w:val="single" w:color="B8B0A0" w:sz="1"/>
              <w:bottom w:val="single" w:color="B8B0A0" w:sz="1"/>
              <w:right w:val="single" w:color="B8B0A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FR-E06,E07,E09,E10; FR-F11; mở rộng môn/lớp; tính năng phụ (TTS, bàn phím công thức, nhắc học, khuyến mãi, đăng nhập MXH)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1"/>
      </w:tabs>
    </w:pPr>
    <w:r>
      <w:rPr>
        <w:color w:val="777777"/>
        <w:sz w:val="18"/>
        <w:szCs w:val="18"/>
      </w:rPr>
      <w:t xml:space="preserve">Tài liệu nội bộ</w:t>
    </w:r>
    <w:r>
      <w:rPr>
        <w:color w:val="777777"/>
        <w:sz w:val="18"/>
        <w:szCs w:val="18"/>
      </w:rPr>
      <w:t xml:space="preserve">	Trang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/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2B" w:sz="4" w:space="4"/>
      </w:pBdr>
      <w:tabs>
        <w:tab w:val="right" w:pos="9071"/>
      </w:tabs>
      <w:spacing w:after="0"/>
    </w:pPr>
    <w:r>
      <w:rPr>
        <w:color w:val="777777"/>
        <w:sz w:val="18"/>
        <w:szCs w:val="18"/>
      </w:rPr>
      <w:t xml:space="preserve">Kế hoạch triển khai – MVP → GĐ3</w:t>
    </w:r>
    <w:r>
      <w:rPr>
        <w:color w:val="777777"/>
        <w:sz w:val="18"/>
        <w:szCs w:val="18"/>
      </w:rPr>
      <w:t xml:space="preserve">	Nền tảng Gia sư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color w:val="163A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color w:val="1F4A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các Giai đoạn - Gia sư AI</dc:title>
  <dc:creator>Mr. Lâm</dc:creator>
  <cp:lastModifiedBy>Un-named</cp:lastModifiedBy>
  <cp:revision>1</cp:revision>
  <dcterms:created xsi:type="dcterms:W3CDTF">2026-06-25T07:26:33.925Z</dcterms:created>
  <dcterms:modified xsi:type="dcterms:W3CDTF">2026-06-25T07:26:33.940Z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