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200"/>
        <w:jc w:val="center"/>
      </w:pPr>
      <w:r>
        <w:rPr>
          <w:rFonts w:ascii="Times New Roman" w:cs="Times New Roman" w:eastAsia="Times New Roman" w:hAnsi="Times New Roman"/>
          <w:b/>
          <w:bCs/>
          <w:sz w:val="26"/>
          <w:szCs w:val="26"/>
        </w:rPr>
        <w:t xml:space="preserve">CỘNG HÒA XÃ HỘI CHỦ NGHĨA VIỆT NAM</w:t>
      </w:r>
    </w:p>
    <w:p>
      <w:pPr>
        <w:spacing w:after="280" w:before="0"/>
        <w:jc w:val="center"/>
      </w:pPr>
      <w:r>
        <w:rPr>
          <w:rFonts w:ascii="Times New Roman" w:cs="Times New Roman" w:eastAsia="Times New Roman" w:hAnsi="Times New Roman"/>
          <w:sz w:val="26"/>
          <w:szCs w:val="26"/>
          <w:u w:val="single"/>
        </w:rPr>
        <w:t xml:space="preserve">Độc lập - Tự do - Hạnh phúc</w:t>
      </w:r>
    </w:p>
    <w:p>
      <w:pPr>
        <w:spacing w:after="200" w:before="480"/>
        <w:jc w:val="center"/>
      </w:pPr>
      <w:r>
        <w:rPr>
          <w:rFonts w:ascii="Times New Roman" w:cs="Times New Roman" w:eastAsia="Times New Roman" w:hAnsi="Times New Roman"/>
          <w:b/>
          <w:bCs/>
          <w:color w:val="1F4E79"/>
          <w:sz w:val="44"/>
          <w:szCs w:val="44"/>
        </w:rPr>
        <w:t xml:space="preserve">BIỆN PHÁP THI CÔNG</w:t>
      </w:r>
    </w:p>
    <w:p>
      <w:pPr>
        <w:spacing w:after="480" w:before="0"/>
        <w:jc w:val="center"/>
      </w:pPr>
      <w:r>
        <w:rPr>
          <w:rFonts w:ascii="Times New Roman" w:cs="Times New Roman" w:eastAsia="Times New Roman" w:hAnsi="Times New Roman"/>
          <w:b/>
          <w:bCs/>
          <w:color w:val="C00000"/>
          <w:sz w:val="30"/>
          <w:szCs w:val="30"/>
        </w:rPr>
        <w:t xml:space="preserve">Mã TBMT: IB2600188229</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00"/>
        <w:gridCol w:w="6400"/>
      </w:tblGrid>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Gói thầu số 08</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Thi công xây dựng hệ thống chiếu sáng tuyến đường Quốc lộ 53B (Đoạn từ Bến tiếp nhận vũ khí Cồn Tàu đến ngã ba đường vào Thiền viện Trúc Lâm Trà Vinh)</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Chủ đầu tư</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Phòng Kinh tế, Hạ tầng và Đô thị phường Trường Long Hòa</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Địa điểm</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Phường Trường Long Hòa, tỉnh Vĩnh Long</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Thời gian TH</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90 ngày</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Loại hợp đồng</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Trọn gói</w:t>
            </w:r>
          </w:p>
        </w:tc>
      </w:tr>
      <w:tr>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4"/>
                <w:szCs w:val="24"/>
              </w:rPr>
              <w:t xml:space="preserve">Nguồn vốn</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w:t>
            </w:r>
          </w:p>
        </w:tc>
        <w:tc>
          <w:tcPr>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Ngân sách phường (vốn sự nghiệp)</w:t>
            </w:r>
          </w:p>
        </w:tc>
      </w:tr>
    </w:tbl>
    <w:p>
      <w:pPr>
        <w:spacing w:after="60" w:before="60"/>
      </w:pPr>
      <w:r>
        <w:t xml:space="preserve"/>
      </w:r>
    </w:p>
    <w:p>
      <w:pPr>
        <w:spacing w:after="60" w:before="60"/>
      </w:pPr>
      <w:r>
        <w:t xml:space="preserve"/>
      </w:r>
    </w:p>
    <w:p>
      <w:pPr>
        <w:spacing w:after="60" w:before="200"/>
        <w:jc w:val="right"/>
      </w:pPr>
      <w:r>
        <w:rPr>
          <w:rFonts w:ascii="Times New Roman" w:cs="Times New Roman" w:eastAsia="Times New Roman" w:hAnsi="Times New Roman"/>
          <w:i/>
          <w:iCs/>
          <w:sz w:val="24"/>
          <w:szCs w:val="24"/>
        </w:rPr>
        <w:t xml:space="preserve">....., ngày     tháng     năm 2026</w:t>
      </w:r>
    </w:p>
    <w:p>
      <w:pPr>
        <w:spacing w:after="40" w:before="40"/>
        <w:jc w:val="right"/>
      </w:pPr>
      <w:r>
        <w:rPr>
          <w:rFonts w:ascii="Times New Roman" w:cs="Times New Roman" w:eastAsia="Times New Roman" w:hAnsi="Times New Roman"/>
          <w:b/>
          <w:bCs/>
          <w:sz w:val="24"/>
          <w:szCs w:val="24"/>
        </w:rPr>
        <w:t xml:space="preserve">ĐẠI DIỆN NHÀ THẦU</w:t>
      </w:r>
    </w:p>
    <w:p>
      <w:pPr>
        <w:spacing w:after="20" w:before="20"/>
        <w:jc w:val="right"/>
      </w:pPr>
      <w:r>
        <w:rPr>
          <w:rFonts w:ascii="Times New Roman" w:cs="Times New Roman" w:eastAsia="Times New Roman" w:hAnsi="Times New Roman"/>
          <w:i/>
          <w:iCs/>
          <w:sz w:val="22"/>
          <w:szCs w:val="22"/>
        </w:rPr>
        <w:t xml:space="preserve">(Ký tên, đóng dấu)</w:t>
      </w:r>
    </w:p>
    <w:p>
      <w:pPr>
        <w:spacing w:after="60" w:before="60"/>
      </w:pPr>
      <w:r>
        <w:t xml:space="preserve"/>
      </w:r>
    </w:p>
    <w:p>
      <w:pPr>
        <w:spacing w:after="60" w:before="60"/>
      </w:pPr>
      <w:r>
        <w:t xml:space="preserve"/>
      </w:r>
    </w:p>
    <w:p>
      <w:pPr>
        <w:spacing w:after="60" w:before="60"/>
      </w:pPr>
      <w:r>
        <w:t xml:space="preserve"/>
      </w:r>
    </w:p>
    <w:p>
      <w:pPr>
        <w:spacing w:after="200" w:before="60"/>
        <w:jc w:val="right"/>
      </w:pPr>
      <w:r>
        <w:rPr>
          <w:rFonts w:ascii="Times New Roman" w:cs="Times New Roman" w:eastAsia="Times New Roman" w:hAnsi="Times New Roman"/>
          <w:sz w:val="24"/>
          <w:szCs w:val="24"/>
        </w:rPr>
        <w:t xml:space="preserve">........................................</w:t>
      </w:r>
    </w:p>
    <w:p>
      <w:pPr>
        <w:pageBreakBefore/>
      </w:pPr>
    </w:p>
    <w:p>
      <w:pPr>
        <w:pStyle w:val="Heading1"/>
        <w:spacing w:after="180" w:before="360"/>
      </w:pPr>
      <w:r>
        <w:rPr>
          <w:rFonts w:ascii="Times New Roman" w:cs="Times New Roman" w:eastAsia="Times New Roman" w:hAnsi="Times New Roman"/>
          <w:b/>
          <w:bCs/>
          <w:sz w:val="28"/>
          <w:szCs w:val="28"/>
        </w:rPr>
        <w:t xml:space="preserve">CHƯƠNG I: GIỚI THIỆU CHUNG VỀ GÓI THẦU</w:t>
      </w:r>
    </w:p>
    <w:p>
      <w:pPr>
        <w:pStyle w:val="Heading2"/>
        <w:spacing w:after="120" w:before="240"/>
      </w:pPr>
      <w:r>
        <w:rPr>
          <w:rFonts w:ascii="Times New Roman" w:cs="Times New Roman" w:eastAsia="Times New Roman" w:hAnsi="Times New Roman"/>
          <w:b/>
          <w:bCs/>
          <w:sz w:val="26"/>
          <w:szCs w:val="26"/>
        </w:rPr>
        <w:t xml:space="preserve">I. Thông tin chung về gói thầu</w:t>
      </w:r>
    </w:p>
    <w:p>
      <w:pPr>
        <w:spacing w:after="60" w:before="60" w:line="360" w:lineRule="auto"/>
        <w:ind w:firstLine="720"/>
        <w:jc w:val="both"/>
      </w:pPr>
      <w:r>
        <w:rPr>
          <w:rFonts w:ascii="Times New Roman" w:cs="Times New Roman" w:eastAsia="Times New Roman" w:hAnsi="Times New Roman"/>
          <w:sz w:val="24"/>
          <w:szCs w:val="24"/>
        </w:rPr>
        <w:t xml:space="preserve">Tên dự án: Xây dựng hệ thống chiếu sáng tuyến đường Quốc lộ 53B (Đoạn từ Bến tiếp nhận vũ khí Cồn Tàu đến ngã ba Thiền viện Trúc Lâm Trà Vinh).</w:t>
      </w:r>
    </w:p>
    <w:p>
      <w:pPr>
        <w:spacing w:after="60" w:before="60" w:line="360" w:lineRule="auto"/>
        <w:ind w:firstLine="720"/>
        <w:jc w:val="both"/>
      </w:pPr>
      <w:r>
        <w:rPr>
          <w:rFonts w:ascii="Times New Roman" w:cs="Times New Roman" w:eastAsia="Times New Roman" w:hAnsi="Times New Roman"/>
          <w:sz w:val="24"/>
          <w:szCs w:val="24"/>
        </w:rPr>
        <w:t xml:space="preserve">Tên gói thầu: Gói thầu số 08 - Thi công xây dựng công trình Xây dựng hệ thống chiếu sáng tuyến đường Quốc lộ 53B (Đoạn từ Bến tiếp nhận vũ khí Cồn Tàu đến ngã ba đường vào Thiền viện Trúc Lâm Trà Vinh).</w:t>
      </w:r>
    </w:p>
    <w:p>
      <w:pPr>
        <w:spacing w:after="60" w:before="60" w:line="360" w:lineRule="auto"/>
        <w:ind w:firstLine="720"/>
        <w:jc w:val="both"/>
      </w:pPr>
      <w:r>
        <w:rPr>
          <w:rFonts w:ascii="Times New Roman" w:cs="Times New Roman" w:eastAsia="Times New Roman" w:hAnsi="Times New Roman"/>
          <w:sz w:val="24"/>
          <w:szCs w:val="24"/>
        </w:rPr>
        <w:t xml:space="preserve">Mã TBMT: IB2600188229 | Mã gói thầu: BP2600264739</w:t>
      </w:r>
    </w:p>
    <w:p>
      <w:pPr>
        <w:spacing w:after="60" w:before="60" w:line="360" w:lineRule="auto"/>
        <w:ind w:firstLine="720"/>
        <w:jc w:val="both"/>
      </w:pPr>
      <w:r>
        <w:rPr>
          <w:rFonts w:ascii="Times New Roman" w:cs="Times New Roman" w:eastAsia="Times New Roman" w:hAnsi="Times New Roman"/>
          <w:sz w:val="24"/>
          <w:szCs w:val="24"/>
        </w:rPr>
        <w:t xml:space="preserve">Chủ đầu tư: Phòng Kinh tế, Hạ tầng và Đô thị phường Trường Long Hòa.</w:t>
      </w:r>
    </w:p>
    <w:p>
      <w:pPr>
        <w:spacing w:after="60" w:before="60" w:line="360" w:lineRule="auto"/>
        <w:ind w:firstLine="720"/>
        <w:jc w:val="both"/>
      </w:pPr>
      <w:r>
        <w:rPr>
          <w:rFonts w:ascii="Times New Roman" w:cs="Times New Roman" w:eastAsia="Times New Roman" w:hAnsi="Times New Roman"/>
          <w:sz w:val="24"/>
          <w:szCs w:val="24"/>
        </w:rPr>
        <w:t xml:space="preserve">Nguồn vốn: Ngân sách phường (vốn sự nghiệp). Loại hợp đồng: Trọn gói. Thời gian: 90 ngày.</w:t>
      </w:r>
    </w:p>
    <w:p>
      <w:pPr>
        <w:pStyle w:val="Heading2"/>
        <w:spacing w:after="120" w:before="240"/>
      </w:pPr>
      <w:r>
        <w:rPr>
          <w:rFonts w:ascii="Times New Roman" w:cs="Times New Roman" w:eastAsia="Times New Roman" w:hAnsi="Times New Roman"/>
          <w:b/>
          <w:bCs/>
          <w:sz w:val="26"/>
          <w:szCs w:val="26"/>
        </w:rPr>
        <w:t xml:space="preserve">II. Căn cứ pháp lý</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Quyết định số 562/QĐ-UBND ngày 20/4/2026 của Chủ tịch UBND phường Trường Long Hòa về việc phê duyệt dự án.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Quyết định số 263/QĐ-UBND ngày 11/02/2026 của UBND phường Trường Long Hòa về việc bổ sung dự toán năm 2026.</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Quyết định số 46/QĐ-PKTHT ngày 24/4/2026 của Trưởng Phòng KT-HT&amp;ĐT phường về việc phê duyệt kế hoạch lựa chọn nhà thầu.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Hồ sơ mời thầu số IB2600188229 đăng tải ngày 05/05/2026. Hồ sơ thiết kế bản vẽ thi công được phê duyệt.</w:t>
      </w:r>
    </w:p>
    <w:p>
      <w:pPr>
        <w:pStyle w:val="Heading2"/>
        <w:spacing w:after="120" w:before="240"/>
      </w:pPr>
      <w:r>
        <w:rPr>
          <w:rFonts w:ascii="Times New Roman" w:cs="Times New Roman" w:eastAsia="Times New Roman" w:hAnsi="Times New Roman"/>
          <w:b/>
          <w:bCs/>
          <w:sz w:val="26"/>
          <w:szCs w:val="26"/>
        </w:rPr>
        <w:t xml:space="preserve">III. Phạm vi công việc</w:t>
      </w:r>
    </w:p>
    <w:p>
      <w:pPr>
        <w:spacing w:after="60" w:before="60" w:line="360" w:lineRule="auto"/>
        <w:ind w:firstLine="720"/>
        <w:jc w:val="both"/>
      </w:pPr>
      <w:r>
        <w:rPr>
          <w:rFonts w:ascii="Times New Roman" w:cs="Times New Roman" w:eastAsia="Times New Roman" w:hAnsi="Times New Roman"/>
          <w:sz w:val="24"/>
          <w:szCs w:val="24"/>
        </w:rPr>
        <w:t xml:space="preserve">Phạm vi đầu tư: Quốc lộ 53B (Đoạn từ Bến tiếp nhận vũ khí Cồn Tàu đến ngã ba Thiền viện Trúc Lâm), tổng chiều dài 5.010m. Nội dung chính: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168 móng bê tông đá 10×20 mác 200, kích thước 0,5×0,5×1m.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168 trụ tròn côn cao 6m dày 3mm, thép mạ kẽm nhúng nóng.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168 cần đèn cao 2m vươn 1,5m, dày 3mm, thép mạ kẽm.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168 bộ đèn LED năng lượng mặt trời, công suất 120W.</w:t>
      </w:r>
    </w:p>
    <w:p>
      <w:pPr>
        <w:pageBreakBefore/>
      </w:pPr>
    </w:p>
    <w:p>
      <w:pPr>
        <w:pStyle w:val="Heading1"/>
        <w:spacing w:after="180" w:before="360"/>
      </w:pPr>
      <w:r>
        <w:rPr>
          <w:rFonts w:ascii="Times New Roman" w:cs="Times New Roman" w:eastAsia="Times New Roman" w:hAnsi="Times New Roman"/>
          <w:b/>
          <w:bCs/>
          <w:sz w:val="28"/>
          <w:szCs w:val="28"/>
        </w:rPr>
        <w:t xml:space="preserve">CHƯƠNG II: LƯU ĐỒ VÀ BIỆN PHÁP THI CÔNG</w:t>
      </w:r>
    </w:p>
    <w:p>
      <w:pPr>
        <w:pStyle w:val="Heading2"/>
        <w:spacing w:after="120" w:before="240"/>
      </w:pPr>
      <w:r>
        <w:rPr>
          <w:rFonts w:ascii="Times New Roman" w:cs="Times New Roman" w:eastAsia="Times New Roman" w:hAnsi="Times New Roman"/>
          <w:b/>
          <w:bCs/>
          <w:sz w:val="26"/>
          <w:szCs w:val="26"/>
        </w:rPr>
        <w:t xml:space="preserve">I. Lưu đồ tổng quát quy trình thi công</w:t>
      </w:r>
    </w:p>
    <w:p>
      <w:pPr>
        <w:spacing w:after="60" w:before="60" w:line="360" w:lineRule="auto"/>
        <w:ind w:firstLine="720"/>
        <w:jc w:val="both"/>
      </w:pPr>
      <w:r>
        <w:rPr>
          <w:rFonts w:ascii="Times New Roman" w:cs="Times New Roman" w:eastAsia="Times New Roman" w:hAnsi="Times New Roman"/>
          <w:sz w:val="24"/>
          <w:szCs w:val="24"/>
        </w:rPr>
        <w:t xml:space="preserve">Toàn bộ quy trình thi công gói thầu được thực hiện tuần tự theo lưu đồ sau, đảm bảo mỗi hạng mục được nghiệm thu bởi Tư vấn giám sát (TVGS) trước khi chuyển sang bước tiếp theo:</w:t>
      </w:r>
    </w:p>
    <w:p>
      <w:pPr>
        <w:spacing w:after="120" w:before="240"/>
        <w:jc w:val="center"/>
      </w:pPr>
      <w:r>
        <w:rPr>
          <w:rFonts w:ascii="Times New Roman" w:cs="Times New Roman" w:eastAsia="Times New Roman" w:hAnsi="Times New Roman"/>
          <w:b/>
          <w:bCs/>
          <w:color w:val="1F4E79"/>
          <w:sz w:val="24"/>
          <w:szCs w:val="24"/>
          <w:u w:val="single" w:color="1F4E79"/>
        </w:rPr>
        <w:t xml:space="preserve">Hình 1: Lưu đồ tổng quát quy trình thi công</w:t>
      </w:r>
    </w:p>
    <w:p>
      <w:pPr>
        <w:spacing w:after="80" w:before="180"/>
        <w:jc w:val="center"/>
      </w:pPr>
      <w:r>
        <w:drawing>
          <wp:inline distT="0" distB="0" distL="0" distR="0">
            <wp:extent cx="40005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7150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Lưu đồ 1: Tổng quát quy trình thi công Gói thầu 08 – IB2600188229</w:t>
      </w:r>
    </w:p>
    <w:p>
      <w:pPr>
        <w:pStyle w:val="Heading2"/>
        <w:spacing w:after="120" w:before="240"/>
      </w:pPr>
      <w:r>
        <w:rPr>
          <w:rFonts w:ascii="Times New Roman" w:cs="Times New Roman" w:eastAsia="Times New Roman" w:hAnsi="Times New Roman"/>
          <w:b/>
          <w:bCs/>
          <w:sz w:val="26"/>
          <w:szCs w:val="26"/>
        </w:rPr>
        <w:t xml:space="preserve">II. Công tác chuẩn bị thi công</w:t>
      </w:r>
    </w:p>
    <w:p>
      <w:pPr>
        <w:spacing w:after="90" w:before="180"/>
      </w:pPr>
      <w:r>
        <w:rPr>
          <w:rFonts w:ascii="Times New Roman" w:cs="Times New Roman" w:eastAsia="Times New Roman" w:hAnsi="Times New Roman"/>
          <w:b/>
          <w:bCs/>
          <w:i/>
          <w:iCs/>
          <w:sz w:val="24"/>
          <w:szCs w:val="24"/>
        </w:rPr>
        <w:t xml:space="preserve">2.1. Lưu đồ công tác chuẩn bị</w:t>
      </w:r>
    </w:p>
    <w:p>
      <w:pPr>
        <w:spacing w:after="80" w:before="18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Lưu đồ 2: Công tác chuẩn bị trước khi triển khai thi công</w:t>
      </w:r>
    </w:p>
    <w:p>
      <w:pPr>
        <w:spacing w:after="90" w:before="180"/>
      </w:pPr>
      <w:r>
        <w:rPr>
          <w:rFonts w:ascii="Times New Roman" w:cs="Times New Roman" w:eastAsia="Times New Roman" w:hAnsi="Times New Roman"/>
          <w:b/>
          <w:bCs/>
          <w:i/>
          <w:iCs/>
          <w:sz w:val="24"/>
          <w:szCs w:val="24"/>
        </w:rPr>
        <w:t xml:space="preserve">2.2. Nội dung chuẩn bị</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Nghiên cứu kỹ hồ sơ thiết kế bản vẽ thi công được phê duyệt, khảo sát hiện trường, nắm bắt điều kiện địa hình thực tế.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Phối hợp với Chủ đầu tư và TVGS tiếp nhận mặt bằng, xác định ranh giới, cắm mốc định vị 168 vị trí lắp đặt trụ đèn theo bản vẽ.</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Lập phương án tổ chức thi công chi tiết, trình phê duyệt trước khi triển khai.</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Thông báo cho chính quyền địa phương và các đơn vị quản lý công trình ngầm (điện lực, cấp thoát nước, viễn thông) dọc tuyến QL53B.</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Dò tìm công trình ngầm bằng thiết bị đo từ trường dọc toàn tuyến 5.010m, đánh dấu các vị trí có công trình ngầm.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Bố trí mặt bằng: Lán trại, kho vật tư, văn phòng công trường. Lắp đặt rào chắn, biển báo công trường theo quy định.</w:t>
      </w:r>
    </w:p>
    <w:p>
      <w:pPr>
        <w:pStyle w:val="Heading2"/>
        <w:spacing w:after="120" w:before="240"/>
      </w:pPr>
      <w:r>
        <w:rPr>
          <w:rFonts w:ascii="Times New Roman" w:cs="Times New Roman" w:eastAsia="Times New Roman" w:hAnsi="Times New Roman"/>
          <w:b/>
          <w:bCs/>
          <w:sz w:val="26"/>
          <w:szCs w:val="26"/>
        </w:rPr>
        <w:t xml:space="preserve">III. Biện pháp đảm bảo an toàn giao thông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đầy đủ biển báo hiệu, rào chắn, đèn cảnh báo theo quy định về thi công trên đường bộ đang khai thác.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Bố trí nhân viên cảnh giới, hướng dẫn điều tiết giao thông trong suốt giờ thi công. Nếu thi công ban đêm: bổ sung đèn báo hiệu.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Thi công tập trung, tránh dàn trải. Hố móng chưa tái lập phải có rào chắn và đèn cảnh báo ban đêm.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công nhân làm việc tại hiện trường phải mặc quần áo bảo hộ có phản quang.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Xe vận chuyển trước khi rời công trường phải được xịt rửa, không để đất cát rơi vãi trên đường.</w:t>
      </w:r>
    </w:p>
    <w:p>
      <w:pPr>
        <w:pageBreakBefore/>
      </w:pPr>
    </w:p>
    <w:p>
      <w:pPr>
        <w:pStyle w:val="Heading1"/>
        <w:spacing w:after="180" w:before="360"/>
      </w:pPr>
      <w:r>
        <w:rPr>
          <w:rFonts w:ascii="Times New Roman" w:cs="Times New Roman" w:eastAsia="Times New Roman" w:hAnsi="Times New Roman"/>
          <w:b/>
          <w:bCs/>
          <w:sz w:val="28"/>
          <w:szCs w:val="28"/>
        </w:rPr>
        <w:t xml:space="preserve">CHƯƠNG III: THI CÔNG MÓNG BÊ TÔNG TRỤ ĐÈN</w:t>
      </w:r>
    </w:p>
    <w:p>
      <w:pPr>
        <w:pStyle w:val="Heading2"/>
        <w:spacing w:after="120" w:before="240"/>
      </w:pPr>
      <w:r>
        <w:rPr>
          <w:rFonts w:ascii="Times New Roman" w:cs="Times New Roman" w:eastAsia="Times New Roman" w:hAnsi="Times New Roman"/>
          <w:b/>
          <w:bCs/>
          <w:sz w:val="26"/>
          <w:szCs w:val="26"/>
        </w:rPr>
        <w:t xml:space="preserve">I. Lưu đồ thi công móng bê tông</w:t>
      </w:r>
    </w:p>
    <w:p>
      <w:pPr>
        <w:spacing w:after="80" w:before="180"/>
        <w:jc w:val="center"/>
      </w:pPr>
      <w:r>
        <w:drawing>
          <wp:inline distT="0" distB="0" distL="0" distR="0">
            <wp:extent cx="4572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2387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Lưu đồ 3: Quy trình thi công móng bê tông trụ đèn (168 móng)</w:t>
      </w:r>
    </w:p>
    <w:p>
      <w:pPr>
        <w:pStyle w:val="Heading2"/>
        <w:spacing w:after="120" w:before="240"/>
      </w:pPr>
      <w:r>
        <w:rPr>
          <w:rFonts w:ascii="Times New Roman" w:cs="Times New Roman" w:eastAsia="Times New Roman" w:hAnsi="Times New Roman"/>
          <w:b/>
          <w:bCs/>
          <w:sz w:val="26"/>
          <w:szCs w:val="26"/>
        </w:rPr>
        <w:t xml:space="preserve">II. Chi tiết kỹ thuật móng và trụ đèn</w:t>
      </w:r>
    </w:p>
    <w:p>
      <w:pPr>
        <w:spacing w:after="80" w:before="180"/>
        <w:jc w:val="center"/>
      </w:pPr>
      <w:r>
        <w:drawing>
          <wp:inline distT="0" distB="0" distL="0" distR="0">
            <wp:extent cx="5334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957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Hình 2: Chi tiết kỹ thuật mặt cắt lắp đặt và các bộ phận cấu thành hệ thống</w:t>
      </w:r>
    </w:p>
    <w:p>
      <w:pPr>
        <w:pStyle w:val="Heading2"/>
        <w:spacing w:after="120" w:before="240"/>
      </w:pPr>
      <w:r>
        <w:rPr>
          <w:rFonts w:ascii="Times New Roman" w:cs="Times New Roman" w:eastAsia="Times New Roman" w:hAnsi="Times New Roman"/>
          <w:b/>
          <w:bCs/>
          <w:sz w:val="26"/>
          <w:szCs w:val="26"/>
        </w:rPr>
        <w:t xml:space="preserve">III. Trình tự thi công</w:t>
      </w:r>
    </w:p>
    <w:p>
      <w:pPr>
        <w:spacing w:after="90" w:before="180"/>
      </w:pPr>
      <w:r>
        <w:rPr>
          <w:rFonts w:ascii="Times New Roman" w:cs="Times New Roman" w:eastAsia="Times New Roman" w:hAnsi="Times New Roman"/>
          <w:b/>
          <w:bCs/>
          <w:i/>
          <w:iCs/>
          <w:sz w:val="24"/>
          <w:szCs w:val="24"/>
        </w:rPr>
        <w:t xml:space="preserve">3.1. Định vị tim cột</w:t>
      </w:r>
    </w:p>
    <w:p>
      <w:pPr>
        <w:spacing w:after="60" w:before="60" w:line="360" w:lineRule="auto"/>
        <w:ind w:firstLine="720"/>
        <w:jc w:val="both"/>
      </w:pPr>
      <w:r>
        <w:rPr>
          <w:rFonts w:ascii="Times New Roman" w:cs="Times New Roman" w:eastAsia="Times New Roman" w:hAnsi="Times New Roman"/>
          <w:sz w:val="24"/>
          <w:szCs w:val="24"/>
        </w:rPr>
        <w:t xml:space="preserve">Sử dụng máy trắc đạc để định vị chính xác vị trí từng móng, đóng cọc mốc. Vị trí cách lề đường từ 1-1,5m theo bản vẽ. Khoảng cách các trụ theo bản vẽ chi tiết.</w:t>
      </w:r>
    </w:p>
    <w:p>
      <w:pPr>
        <w:spacing w:after="90" w:before="180"/>
      </w:pPr>
      <w:r>
        <w:rPr>
          <w:rFonts w:ascii="Times New Roman" w:cs="Times New Roman" w:eastAsia="Times New Roman" w:hAnsi="Times New Roman"/>
          <w:b/>
          <w:bCs/>
          <w:i/>
          <w:iCs/>
          <w:sz w:val="24"/>
          <w:szCs w:val="24"/>
        </w:rPr>
        <w:t xml:space="preserve">3.2. Đào hố móng và lắp khung bulong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Dò từ trường xác định công trình ngầm trước khi đào. Đào hố thủ công kích thước 0,5×0,5×1m, vừa đào vừa thăm dò.</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khung bulong M24×300×300, L=650mm thép 35 mạ kẽm đúng vị trí, kiểm tra độ thẳng đứng và vuông góc.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TVGS nghiệm thu hố móng: kiểm tra kích thước, cao độ nền trước khi đổ bê tông.</w:t>
      </w:r>
    </w:p>
    <w:p>
      <w:pPr>
        <w:spacing w:after="90" w:before="180"/>
      </w:pPr>
      <w:r>
        <w:rPr>
          <w:rFonts w:ascii="Times New Roman" w:cs="Times New Roman" w:eastAsia="Times New Roman" w:hAnsi="Times New Roman"/>
          <w:b/>
          <w:bCs/>
          <w:i/>
          <w:iCs/>
          <w:sz w:val="24"/>
          <w:szCs w:val="24"/>
        </w:rPr>
        <w:t xml:space="preserve">3.3. Ván khuôn và đổ bê tông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ván khuôn gỗ đúng kích thước 0,5×0,5×1m, kiểm tra độ kín, chốt chặt tránh xê dịch khi đổ.</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Trộn bê tông mác 200, đá 10×20, đúng cấp phối. Vật liệu có chứng chỉ xuất xưởng.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Đổ bê tông liên tục, đầm dùi kỹ tránh rỗ. Lấy mẫu thử nén theo quy định.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Bảo dưỡng bê tông tối thiểu 7 ngày (tưới nước giữ ẩm, che chắn). Tháo ván khuôn sau ≥3 ngày.</w:t>
      </w:r>
    </w:p>
    <w:p>
      <w:pPr>
        <w:pageBreakBefore/>
      </w:pPr>
    </w:p>
    <w:p>
      <w:pPr>
        <w:pStyle w:val="Heading1"/>
        <w:spacing w:after="180" w:before="360"/>
      </w:pPr>
      <w:r>
        <w:rPr>
          <w:rFonts w:ascii="Times New Roman" w:cs="Times New Roman" w:eastAsia="Times New Roman" w:hAnsi="Times New Roman"/>
          <w:b/>
          <w:bCs/>
          <w:sz w:val="28"/>
          <w:szCs w:val="28"/>
        </w:rPr>
        <w:t xml:space="preserve">CHƯƠNG IV: LẮP ĐẶT TRỤ ĐÈN TRÒN CÔN VÀ CẦN ĐÈN</w:t>
      </w:r>
    </w:p>
    <w:p>
      <w:pPr>
        <w:pStyle w:val="Heading2"/>
        <w:spacing w:after="120" w:before="240"/>
      </w:pPr>
      <w:r>
        <w:rPr>
          <w:rFonts w:ascii="Times New Roman" w:cs="Times New Roman" w:eastAsia="Times New Roman" w:hAnsi="Times New Roman"/>
          <w:b/>
          <w:bCs/>
          <w:sz w:val="26"/>
          <w:szCs w:val="26"/>
        </w:rPr>
        <w:t xml:space="preserve">I. Lưu đồ lắp đặt trụ và cần đèn</w:t>
      </w:r>
    </w:p>
    <w:p>
      <w:pPr>
        <w:spacing w:after="80" w:before="180"/>
        <w:jc w:val="center"/>
      </w:pPr>
      <w:r>
        <w:drawing>
          <wp:inline distT="0" distB="0" distL="0" distR="0">
            <wp:extent cx="4572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7625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Lưu đồ 4: Quy trình lắp đặt trụ tròn côn 6m và cần đèn</w:t>
      </w:r>
    </w:p>
    <w:p>
      <w:pPr>
        <w:pStyle w:val="Heading2"/>
        <w:spacing w:after="120" w:before="240"/>
      </w:pPr>
      <w:r>
        <w:rPr>
          <w:rFonts w:ascii="Times New Roman" w:cs="Times New Roman" w:eastAsia="Times New Roman" w:hAnsi="Times New Roman"/>
          <w:b/>
          <w:bCs/>
          <w:sz w:val="26"/>
          <w:szCs w:val="26"/>
        </w:rPr>
        <w:t xml:space="preserve">II. Thông số kỹ thuật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Thông số</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Loại trụ</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Trụ tròn côn, thép ống mạ kẽm nhúng nóng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Chiều dài trụ</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6m</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Độ dày thành trụ</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3mm</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Đường kính đáy / Đỉnh</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Ø148mm / Ø73mm</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Bulong khung móng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M24×300×300, L=650mm, Thép 35 mạ kẽm</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Cần đèn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Cao 2m, vươn 1,5m, dày 3mm, thép mạ kẽm</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Giá đỡ tấm pin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Thép CT3 mạ kẽm, 1000×784×39mm</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Số lượng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168 trụ + 168 cần đèn</w:t>
            </w:r>
          </w:p>
        </w:tc>
      </w:tr>
    </w:tbl>
    <w:p>
      <w:pPr>
        <w:pStyle w:val="Heading2"/>
        <w:spacing w:after="120" w:before="240"/>
      </w:pPr>
      <w:r>
        <w:rPr>
          <w:rFonts w:ascii="Times New Roman" w:cs="Times New Roman" w:eastAsia="Times New Roman" w:hAnsi="Times New Roman"/>
          <w:b/>
          <w:bCs/>
          <w:sz w:val="26"/>
          <w:szCs w:val="26"/>
        </w:rPr>
        <w:t xml:space="preserve">III. Trình tự lắp đặt</w:t>
      </w:r>
    </w:p>
    <w:p>
      <w:pPr>
        <w:spacing w:after="90" w:before="180"/>
      </w:pPr>
      <w:r>
        <w:rPr>
          <w:rFonts w:ascii="Times New Roman" w:cs="Times New Roman" w:eastAsia="Times New Roman" w:hAnsi="Times New Roman"/>
          <w:b/>
          <w:bCs/>
          <w:i/>
          <w:iCs/>
          <w:sz w:val="24"/>
          <w:szCs w:val="24"/>
        </w:rPr>
        <w:t xml:space="preserve">3.1. Kiểm tra vật tư trước lắp đặt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ngoại quan: độ thẳng trụ, chất lượng mạ kẽm, kích thước. Không đưa vào lắp đặt nếu có cong vênh, mạ kẽm không đều, không đủ độ dày.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lý lịch, phiếu kiểm nghiệm xuất xưởng. TVGS nghiệm thu vật tư đầu vào.</w:t>
      </w:r>
    </w:p>
    <w:p>
      <w:pPr>
        <w:spacing w:after="90" w:before="180"/>
      </w:pPr>
      <w:r>
        <w:rPr>
          <w:rFonts w:ascii="Times New Roman" w:cs="Times New Roman" w:eastAsia="Times New Roman" w:hAnsi="Times New Roman"/>
          <w:b/>
          <w:bCs/>
          <w:i/>
          <w:iCs/>
          <w:sz w:val="24"/>
          <w:szCs w:val="24"/>
        </w:rPr>
        <w:t xml:space="preserve">3.2. Cẩu lắp và bắt bulong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Dùng xe cẩu chuyên dụng đưa trụ vào vị trí. Kiểm tra hướng cửa thoát dây đúng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Siết chặt bulong móng đúng lực siết. Kiểm tra độ thẳng đứng bằng thước thủy, dây dọi. Điều chỉnh đến khi đạt.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Lấp đất, đầm chặt xung quanh móng sau khi lắp trụ xong.</w:t>
      </w:r>
    </w:p>
    <w:p>
      <w:pPr>
        <w:spacing w:after="90" w:before="180"/>
      </w:pPr>
      <w:r>
        <w:rPr>
          <w:rFonts w:ascii="Times New Roman" w:cs="Times New Roman" w:eastAsia="Times New Roman" w:hAnsi="Times New Roman"/>
          <w:b/>
          <w:bCs/>
          <w:i/>
          <w:iCs/>
          <w:sz w:val="24"/>
          <w:szCs w:val="24"/>
        </w:rPr>
        <w:t xml:space="preserve">3.3. Lắp đặt cần đèn và luồn dây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cần đèn vào đỉnh trụ, hướng vươn đúng theo bản vẽ. Bắt chặt bu-lông kẹp cần.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Luồn dây điện trong thân trụ, bảo vệ đầu dây, tránh cọ sát vào mép sắc.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TVGS nghiệm thu hạng mục trụ đèn trước khi lắp đèn.</w:t>
      </w:r>
    </w:p>
    <w:p>
      <w:pPr>
        <w:pageBreakBefore/>
      </w:pPr>
    </w:p>
    <w:p>
      <w:pPr>
        <w:pStyle w:val="Heading1"/>
        <w:spacing w:after="180" w:before="360"/>
      </w:pPr>
      <w:r>
        <w:rPr>
          <w:rFonts w:ascii="Times New Roman" w:cs="Times New Roman" w:eastAsia="Times New Roman" w:hAnsi="Times New Roman"/>
          <w:b/>
          <w:bCs/>
          <w:sz w:val="28"/>
          <w:szCs w:val="28"/>
        </w:rPr>
        <w:t xml:space="preserve">CHƯƠNG V: LẮP ĐẶT ĐÈN LED NĂNG LƯỢNG MẶT TRỜI 120W</w:t>
      </w:r>
    </w:p>
    <w:p>
      <w:pPr>
        <w:pStyle w:val="Heading2"/>
        <w:spacing w:after="120" w:before="240"/>
      </w:pPr>
      <w:r>
        <w:rPr>
          <w:rFonts w:ascii="Times New Roman" w:cs="Times New Roman" w:eastAsia="Times New Roman" w:hAnsi="Times New Roman"/>
          <w:b/>
          <w:bCs/>
          <w:sz w:val="26"/>
          <w:szCs w:val="26"/>
        </w:rPr>
        <w:t xml:space="preserve">I. Lưu đồ lắp đặt đèn LED NLMT</w:t>
      </w:r>
    </w:p>
    <w:p>
      <w:pPr>
        <w:spacing w:after="80" w:before="180"/>
        <w:jc w:val="center"/>
      </w:pPr>
      <w:r>
        <w:drawing>
          <wp:inline distT="0" distB="0" distL="0" distR="0">
            <wp:extent cx="4572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533400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Lưu đồ 5: Quy trình lắp đặt đèn LED năng lượng mặt trời 120W</w:t>
      </w:r>
    </w:p>
    <w:p>
      <w:pPr>
        <w:pStyle w:val="Heading2"/>
        <w:spacing w:after="120" w:before="240"/>
      </w:pPr>
      <w:r>
        <w:rPr>
          <w:rFonts w:ascii="Times New Roman" w:cs="Times New Roman" w:eastAsia="Times New Roman" w:hAnsi="Times New Roman"/>
          <w:b/>
          <w:bCs/>
          <w:sz w:val="26"/>
          <w:szCs w:val="26"/>
        </w:rPr>
        <w:t xml:space="preserve">II. Thông số kỹ thuật đèn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Thông số</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Giá trị</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Công suất đèn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120W</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Quang thông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12.000 lm</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Hiệu suất chip Led / Hiệu suất sáng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150lm/W / 100lm/W</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Hệ số duy trì quang thông Led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90 (L90, 120.000h)</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Nhiệt độ màu / CRI</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4000K/5000K / CRI &gt;70</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Chế độ sáng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Dimer 5 cấp công suất</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Thời gian sáng / Dự trữ</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10-12 giờ/đêm / 1-2 ngày ít nắng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Khả năng bảo vệ / Cách điện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IP66, IK09 / Cấp II</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Tuổi thọ</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100.000 giờ</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Tấm pin NLMT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200W, Mono Crystalline, 1400×780×35mm</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Pin lưu trữ</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LiFePO4, 72Ah, 12,8V – Dung lượng 921,6Wh</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Bộ điều khiển MPPT</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12/24V-15A, bảo vệ pin, Dimer 5 cấp</w:t>
            </w:r>
          </w:p>
        </w:tc>
      </w:tr>
    </w:tbl>
    <w:p>
      <w:pPr>
        <w:pStyle w:val="Heading2"/>
        <w:spacing w:after="120" w:before="240"/>
      </w:pPr>
      <w:r>
        <w:rPr>
          <w:rFonts w:ascii="Times New Roman" w:cs="Times New Roman" w:eastAsia="Times New Roman" w:hAnsi="Times New Roman"/>
          <w:b/>
          <w:bCs/>
          <w:sz w:val="26"/>
          <w:szCs w:val="26"/>
        </w:rPr>
        <w:t xml:space="preserve">III. Trình tự lắp đặt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TVGS nghiệm thu bộ đèn: Kiểm tra đầy đủ chứng chỉ IEC, CE, TCVN, QCVN, Quatest, phiếu xuất xưởng.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đặt giá đỡ tấm pin NLMT trên trụ, hướng về phía Nam để tối ưu thu năng lượng mặt trời.</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tấm pin NLMT lên giá đỡ, kiểm tra góc nghiêng, bắt chặt bulông.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bộ điều khiển MPPT vào hộp điều khiển trong trụ.</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Đấu nối dây theo sơ đồ: Pin NLMT → MPPT → Pin lưu trữ LiFePO4 → Đèn LED. Kiểm tra đúng cực, đúng sơ đồ.</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Lắp đèn LED lên cần đèn, kiểm tra hướng chiếu sáng theo thiết kế.</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Thử nghiệm vận hành: Kiểm tra bật/tắt, các cấp Dimer, đo độ rọi tại mặt đường. Đạt yêu cầu QCVN 07-7:2023/BXD.</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Đóng nắp hộp điều khiển, vệ sinh trụ, nghiệm thu với TVGS.</w:t>
      </w:r>
    </w:p>
    <w:p>
      <w:pPr>
        <w:pageBreakBefore/>
      </w:pPr>
    </w:p>
    <w:p>
      <w:pPr>
        <w:pStyle w:val="Heading1"/>
        <w:spacing w:after="180" w:before="360"/>
      </w:pPr>
      <w:r>
        <w:rPr>
          <w:rFonts w:ascii="Times New Roman" w:cs="Times New Roman" w:eastAsia="Times New Roman" w:hAnsi="Times New Roman"/>
          <w:b/>
          <w:bCs/>
          <w:sz w:val="28"/>
          <w:szCs w:val="28"/>
        </w:rPr>
        <w:t xml:space="preserve">CHƯƠNG VI: TỔ CHỨC QUẢN LÝ VÀ TIẾN ĐỘ THI CÔNG</w:t>
      </w:r>
    </w:p>
    <w:p>
      <w:pPr>
        <w:pStyle w:val="Heading2"/>
        <w:spacing w:after="120" w:before="240"/>
      </w:pPr>
      <w:r>
        <w:rPr>
          <w:rFonts w:ascii="Times New Roman" w:cs="Times New Roman" w:eastAsia="Times New Roman" w:hAnsi="Times New Roman"/>
          <w:b/>
          <w:bCs/>
          <w:sz w:val="26"/>
          <w:szCs w:val="26"/>
        </w:rPr>
        <w:t xml:space="preserve">I. Sơ đồ tổ chức quản lý công trường</w:t>
      </w:r>
    </w:p>
    <w:p>
      <w:pPr>
        <w:spacing w:after="80" w:before="18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52750"/>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Hình 3: Sơ đồ tổ chức quản lý công trường</w:t>
      </w:r>
    </w:p>
    <w:p>
      <w:pPr>
        <w:spacing w:after="60" w:before="60" w:line="360" w:lineRule="auto"/>
        <w:ind w:firstLine="720"/>
        <w:jc w:val="both"/>
      </w:pPr>
      <w:r>
        <w:rPr>
          <w:rFonts w:ascii="Times New Roman" w:cs="Times New Roman" w:eastAsia="Times New Roman" w:hAnsi="Times New Roman"/>
          <w:sz w:val="24"/>
          <w:szCs w:val="24"/>
        </w:rPr>
        <w:t xml:space="preserve">Chỉ huy trưởng công trường chịu trách nhiệm toàn diện về chất lượng, tiến độ, ATLĐ và môi trường. Tất cả cán bộ, công nhân đều được huấn luyện ATLĐ, có thẻ ATLĐ trước khi thi công.</w:t>
      </w:r>
    </w:p>
    <w:p>
      <w:pPr>
        <w:pStyle w:val="Heading2"/>
        <w:spacing w:after="120" w:before="240"/>
      </w:pPr>
      <w:r>
        <w:rPr>
          <w:rFonts w:ascii="Times New Roman" w:cs="Times New Roman" w:eastAsia="Times New Roman" w:hAnsi="Times New Roman"/>
          <w:b/>
          <w:bCs/>
          <w:sz w:val="26"/>
          <w:szCs w:val="26"/>
        </w:rPr>
        <w:t xml:space="preserve">II. Sơ đồ tiến độ thi công</w:t>
      </w:r>
    </w:p>
    <w:p>
      <w:pPr>
        <w:spacing w:after="80" w:before="18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1462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595959"/>
          <w:sz w:val="20"/>
          <w:szCs w:val="20"/>
        </w:rPr>
        <w:t xml:space="preserve">Hình 4: Sơ đồ Gantt tiến độ thi công 90 ngày (13 tuần) – Gói thầu IB2600188229</w:t>
      </w:r>
    </w:p>
    <w:p>
      <w:pPr>
        <w:spacing w:after="60" w:before="60" w:line="360" w:lineRule="auto"/>
        <w:ind w:firstLine="720"/>
        <w:jc w:val="both"/>
      </w:pPr>
      <w:r>
        <w:rPr>
          <w:rFonts w:ascii="Times New Roman" w:cs="Times New Roman" w:eastAsia="Times New Roman" w:hAnsi="Times New Roman"/>
          <w:sz w:val="24"/>
          <w:szCs w:val="24"/>
        </w:rPr>
        <w:t xml:space="preserve">Thời gian thi công: 90 ngày kể từ ngày khởi công đến khi hoàn thành nghiệm thu bàn giao. Các hạng mục được thực hiện song song và tuần tự để tối ưu tiến độ, đảm bảo chất lượng.</w:t>
      </w:r>
    </w:p>
    <w:p>
      <w:pPr>
        <w:pageBreakBefore/>
      </w:pPr>
    </w:p>
    <w:p>
      <w:pPr>
        <w:pStyle w:val="Heading1"/>
        <w:spacing w:after="180" w:before="360"/>
      </w:pPr>
      <w:r>
        <w:rPr>
          <w:rFonts w:ascii="Times New Roman" w:cs="Times New Roman" w:eastAsia="Times New Roman" w:hAnsi="Times New Roman"/>
          <w:b/>
          <w:bCs/>
          <w:sz w:val="28"/>
          <w:szCs w:val="28"/>
        </w:rPr>
        <w:t xml:space="preserve">CHƯƠNG VII: ĐẢM BẢO CHẤT LƯỢNG CÔNG TRÌNH</w:t>
      </w:r>
    </w:p>
    <w:p>
      <w:pPr>
        <w:pStyle w:val="Heading2"/>
        <w:spacing w:after="120" w:before="240"/>
      </w:pPr>
      <w:r>
        <w:rPr>
          <w:rFonts w:ascii="Times New Roman" w:cs="Times New Roman" w:eastAsia="Times New Roman" w:hAnsi="Times New Roman"/>
          <w:b/>
          <w:bCs/>
          <w:sz w:val="26"/>
          <w:szCs w:val="26"/>
        </w:rPr>
        <w:t xml:space="preserve">I. Hệ thống quản lý chất lượng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Thành lập Tổ KCS: Cán bộ quản lý kỹ thuật + Cán bộ quản lý công trường + Bộ phận cung ứng vật tư.</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Tổ KCS nghiệm thu nội bộ toàn bộ vật tư đầu vào, chọn mẫu gửi kiểm định tại phòng thí nghiệm hợp chuẩn.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Nghiệm thu từng hạng mục với TVGS trước khi chuyển bước tiếp theo. Không thi công bước tiếp khi chưa có biên bản nghiệm thu.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Nhật ký thi công hằng ngày, giao ban định kỳ hàng tuần, báo cáo tháng gửi Chủ đầu tư và TVGS.</w:t>
      </w:r>
    </w:p>
    <w:p>
      <w:pPr>
        <w:pStyle w:val="Heading2"/>
        <w:spacing w:after="120" w:before="240"/>
      </w:pPr>
      <w:r>
        <w:rPr>
          <w:rFonts w:ascii="Times New Roman" w:cs="Times New Roman" w:eastAsia="Times New Roman" w:hAnsi="Times New Roman"/>
          <w:b/>
          <w:bCs/>
          <w:sz w:val="26"/>
          <w:szCs w:val="26"/>
        </w:rPr>
        <w:t xml:space="preserve">II. Quy chuẩn, tiêu chuẩn áp dụng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25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STT</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Tên quy chuẩn, tiêu chuẩn</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Mã hiệu</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Hệ thống lắp đặt điện hạ áp - Phần 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7447-1:2010</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Mô đun LED dành cho chiếu sáng thông dụng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10485:2015</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Tính năng đèn điện - Yêu cầu chung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10885-1:2015</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Tính năng đèn điện - Phần 2.1 đèn LED</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10885-2-1:2015</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Đèn điện - Phần 1: Yêu cầu chung và thử nghiệm</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7722-1:2017</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Đèn điện - Phần 2: Đèn dùng cho chiếu sáng đường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7722-2-3:2019</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chiếu sáng bằng công nghệ Led</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19:2019/BKHCN</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an toàn trong xây dựng</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18:2021/BXD</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QCKT Hạ tầng kỹ thuật - Công trình chiếu sáng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07-7:2023/BXD</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Chiếu sáng nhân tạo bên ngoài – Yêu cầu thiết kế</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13608:2023</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Kết cấu thép – Tiêu chuẩn thiết kế</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TCVN 5575:2024</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kỹ thuật quốc gia an toàn về điện</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25:2025/BCT</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Quy chuẩn an toàn cháy cho nhà và công trình</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QCVN 06:2022/BXD</w:t>
            </w:r>
          </w:p>
        </w:tc>
      </w:tr>
    </w:tbl>
    <w:p>
      <w:pPr>
        <w:pageBreakBefore/>
      </w:pPr>
    </w:p>
    <w:p>
      <w:pPr>
        <w:pStyle w:val="Heading1"/>
        <w:spacing w:after="180" w:before="360"/>
      </w:pPr>
      <w:r>
        <w:rPr>
          <w:rFonts w:ascii="Times New Roman" w:cs="Times New Roman" w:eastAsia="Times New Roman" w:hAnsi="Times New Roman"/>
          <w:b/>
          <w:bCs/>
          <w:sz w:val="28"/>
          <w:szCs w:val="28"/>
        </w:rPr>
        <w:t xml:space="preserve">CHƯƠNG VIII: AN TOÀN LAO ĐỘNG – PCCC – VỆ SINH MÔI TRƯỜNG</w:t>
      </w:r>
    </w:p>
    <w:p>
      <w:pPr>
        <w:pStyle w:val="Heading2"/>
        <w:spacing w:after="120" w:before="240"/>
      </w:pPr>
      <w:r>
        <w:rPr>
          <w:rFonts w:ascii="Times New Roman" w:cs="Times New Roman" w:eastAsia="Times New Roman" w:hAnsi="Times New Roman"/>
          <w:b/>
          <w:bCs/>
          <w:sz w:val="26"/>
          <w:szCs w:val="26"/>
        </w:rPr>
        <w:t xml:space="preserve">I. An toàn lao động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Trước khởi công: Kiểm tra sức khỏe toàn bộ công nhân, huấn luyện ATLĐ theo TCVN 5308-91 và TT 07/2016/TT-LĐTBXH; cấp thẻ ATLĐ và mua bảo hiểm.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ATLĐ thường xuyên có mặt công trường, kiểm tra nhắc nhở tuân thủ quy định. Treo biển báo ATLĐ tại nơi dễ thấy.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Cán bộ, công nhân làm việc điện phải có chứng chỉ chuyên môn, huấn luyện an toàn điện, được cấp thẻ an toàn điện.</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làm việc từ 2m trở lên phải đeo dây an toàn. Khi cẩu lắp trụ đèn tuyệt đối không đứng bên dưới cấu kiện đang cẩu.</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Trang bị đầy đủ bảo hộ cá nhân: Quần áo phản quang, mũ bảo hộ, giày bảo hộ, kính, găng tay.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Hố móng, mương chưa tái lập có rào chắn + biển báo ban ngày + đèn cảnh báo ban đêm.</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Kiểm tra tình trạng máy móc, thiết bị trước khi vận hành. Người vận hành phải có chứng chỉ/giấy phép.</w:t>
      </w:r>
    </w:p>
    <w:p>
      <w:pPr>
        <w:pStyle w:val="Heading2"/>
        <w:spacing w:after="120" w:before="240"/>
      </w:pPr>
      <w:r>
        <w:rPr>
          <w:rFonts w:ascii="Times New Roman" w:cs="Times New Roman" w:eastAsia="Times New Roman" w:hAnsi="Times New Roman"/>
          <w:b/>
          <w:bCs/>
          <w:sz w:val="26"/>
          <w:szCs w:val="26"/>
        </w:rPr>
        <w:t xml:space="preserve">II. Phòng cháy - Chữa cháy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Thành lập đội PCCC cơ sở, lập phương án, huấn luyện và tổ chức tập diễn PCCC.</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Trang bị: 2 bình bột 4kg, 2 bình CO2 3kg, xà beng, búa tạ, kềm cộng lực tại công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Biển nội quy PCCC đặt nơi dễ quan sát. Không đốt lửa gần kho vật tư, thiết bị dễ cháy.</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Áp dụng QCVN 06:2022/BXD, QCVN 25:2025/BCT, QCVN 18:2021/BXD. Phối hợp chặt đơn vị PCCC khu vực.</w:t>
      </w:r>
    </w:p>
    <w:p>
      <w:pPr>
        <w:pStyle w:val="Heading2"/>
        <w:spacing w:after="120" w:before="240"/>
      </w:pPr>
      <w:r>
        <w:rPr>
          <w:rFonts w:ascii="Times New Roman" w:cs="Times New Roman" w:eastAsia="Times New Roman" w:hAnsi="Times New Roman"/>
          <w:b/>
          <w:bCs/>
          <w:sz w:val="26"/>
          <w:szCs w:val="26"/>
        </w:rPr>
        <w:t xml:space="preserve">III. Vệ sinh môi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Phương tiện vận chuyển che chắn vật tư, không rơi vãi; xịt rửa xe trước khi rời công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Đất thải, phế thải được thu gom vận chuyển đến nơi quy định ngay trong ngày. Thi công đến đâu vệ sinh đến đó.</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Hạn chế tiếng ồn, không dùng thiết bị gây ồn lớn ban đêm. Nước thải qua hố lắng trước khi xả ra hệ thống chung.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Sau hoàn thành, dọn dẹp hoàn trả mặt bằng như ban đầu. Không ảnh hưởng đến môi trường, cảnh quan khu vực.</w:t>
      </w:r>
    </w:p>
    <w:p>
      <w:pPr>
        <w:pageBreakBefore/>
      </w:pPr>
    </w:p>
    <w:p>
      <w:pPr>
        <w:pStyle w:val="Heading1"/>
        <w:spacing w:after="180" w:before="360"/>
      </w:pPr>
      <w:r>
        <w:rPr>
          <w:rFonts w:ascii="Times New Roman" w:cs="Times New Roman" w:eastAsia="Times New Roman" w:hAnsi="Times New Roman"/>
          <w:b/>
          <w:bCs/>
          <w:sz w:val="28"/>
          <w:szCs w:val="28"/>
        </w:rPr>
        <w:t xml:space="preserve">CHƯƠNG IX: BẢO HÀNH CÔNG TRÌNH</w:t>
      </w:r>
    </w:p>
    <w:p>
      <w:pPr>
        <w:pStyle w:val="Heading2"/>
        <w:spacing w:after="120" w:before="240"/>
      </w:pPr>
      <w:r>
        <w:rPr>
          <w:rFonts w:ascii="Times New Roman" w:cs="Times New Roman" w:eastAsia="Times New Roman" w:hAnsi="Times New Roman"/>
          <w:b/>
          <w:bCs/>
          <w:sz w:val="26"/>
          <w:szCs w:val="26"/>
        </w:rPr>
        <w:t xml:space="preserve">I. Cam kết bảo hành</w:t>
      </w:r>
    </w:p>
    <w:p>
      <w:pPr>
        <w:spacing w:after="60" w:before="60" w:line="360" w:lineRule="auto"/>
        <w:ind w:firstLine="720"/>
        <w:jc w:val="both"/>
      </w:pPr>
      <w:r>
        <w:rPr>
          <w:rFonts w:ascii="Times New Roman" w:cs="Times New Roman" w:eastAsia="Times New Roman" w:hAnsi="Times New Roman"/>
          <w:sz w:val="24"/>
          <w:szCs w:val="24"/>
        </w:rPr>
        <w:t xml:space="preserve">Sau khi nghiệm thu hoàn thành, Nhà thầu cam kết bảo hành theo thời hạn: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Hạng mục</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Thời gian bảo hành</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Đèn LED NLMT 120W và tấm pin</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24 tháng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Bộ điều khiển MPPT và pin lưu trữ</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24 tháng</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Thiết bị điện khác</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24 tháng</w:t>
            </w:r>
          </w:p>
        </w:tc>
      </w:tr>
      <w:tr>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Trụ đèn, cần đèn, giá đỡ</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12 tháng</w:t>
            </w:r>
          </w:p>
        </w:tc>
      </w:tr>
      <w:tr>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Móng bê tông và phần xây dựng</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12 tháng</w:t>
            </w:r>
          </w:p>
        </w:tc>
      </w:tr>
    </w:tbl>
    <w:p>
      <w:pPr>
        <w:pStyle w:val="Heading2"/>
        <w:spacing w:after="120" w:before="240"/>
      </w:pPr>
      <w:r>
        <w:rPr>
          <w:rFonts w:ascii="Times New Roman" w:cs="Times New Roman" w:eastAsia="Times New Roman" w:hAnsi="Times New Roman"/>
          <w:b/>
          <w:bCs/>
          <w:sz w:val="26"/>
          <w:szCs w:val="26"/>
        </w:rPr>
        <w:t xml:space="preserve">II. Trình tự bảo hành và bàn giao</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Khi có sự cố trong thời hạn bảo hành, Chủ đầu tư thông báo văn bản. Nhà thầu cử kỹ thuật đến kiểm tra trong vòng 48 giờ.</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Tiến hành sửa chữa, khắc phục kịp thời không ảnh hưởng vận hành hệ thống. Lập biên bản nghiệm thu sau bảo hành.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Lập đầy đủ hồ sơ bản vẽ hoàn công, biên bản nghiệm thu các công việc trước khi tổ chức nghiệm thu bàn giao.</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Hướng dẫn vận hành, bảo trì cho đơn vị quản lý. Bàn giao tài liệu kỹ thuật, catalog, chứng chỉ bảo hành nhà sản xuất.</w:t>
      </w:r>
    </w:p>
    <w:p>
      <w:pPr>
        <w:pageBreakBefore/>
      </w:pPr>
    </w:p>
    <w:p>
      <w:pPr>
        <w:pStyle w:val="Heading1"/>
        <w:spacing w:after="180" w:before="360"/>
      </w:pPr>
      <w:r>
        <w:rPr>
          <w:rFonts w:ascii="Times New Roman" w:cs="Times New Roman" w:eastAsia="Times New Roman" w:hAnsi="Times New Roman"/>
          <w:b/>
          <w:bCs/>
          <w:sz w:val="28"/>
          <w:szCs w:val="28"/>
        </w:rPr>
        <w:t xml:space="preserve">KẾT LUẬN VÀ CAM KẾT</w:t>
      </w:r>
    </w:p>
    <w:p>
      <w:pPr>
        <w:spacing w:after="60" w:before="60" w:line="360" w:lineRule="auto"/>
        <w:ind w:firstLine="720"/>
        <w:jc w:val="both"/>
      </w:pPr>
      <w:r>
        <w:rPr>
          <w:rFonts w:ascii="Times New Roman" w:cs="Times New Roman" w:eastAsia="Times New Roman" w:hAnsi="Times New Roman"/>
          <w:sz w:val="24"/>
          <w:szCs w:val="24"/>
        </w:rPr>
        <w:t xml:space="preserve">Trên đây là toàn bộ Biện pháp thi công của Nhà thầu cho Gói thầu số 08 – Mã TBMT IB2600188229, Thi công xây dựng công trình Xây dựng hệ thống chiếu sáng tuyến đường Quốc lộ 53B. Nhà thầu cam kết: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Thi công đúng hồ sơ thiết kế được duyệt, đúng quy chuẩn và tiêu chuẩn kỹ thuật hiện hành.</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Đảm bảo chất lượng công trình, hoàn thành đúng tiến độ 90 ngày theo hợp đồng.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Thực hiện đầy đủ biện pháp an toàn lao động, phòng cháy chữa cháy, bảo vệ môi trường.</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Cung cấp đầy đủ hồ sơ pháp lý, chứng nhận chất lượng vật tư, thiết bị theo đúng yêu cầu HSMT.</w:t>
      </w:r>
    </w:p>
    <w:p>
      <w:pPr>
        <w:pStyle w:val="ListParagraph"/>
        <w:numPr>
          <w:ilvl w:val="0"/>
          <w:numId w:val="2"/>
        </w:numPr>
        <w:spacing w:after="60" w:before="60" w:line="360" w:lineRule="auto"/>
        <w:ind w:left="720" w:hanging="360"/>
        <w:jc w:val="both"/>
      </w:pPr>
      <w:r>
        <w:rPr>
          <w:rFonts w:ascii="Times New Roman" w:cs="Times New Roman" w:eastAsia="Times New Roman" w:hAnsi="Times New Roman"/>
          <w:sz w:val="24"/>
          <w:szCs w:val="24"/>
        </w:rPr>
        <w:t xml:space="preserve">Thực hiện nghiêm túc chế độ bảo hành công trình theo quy định pháp luật và điều khoản hợp đồng.</w:t>
      </w:r>
    </w:p>
    <w:p>
      <w:pPr>
        <w:spacing w:after="60" w:before="60"/>
      </w:pPr>
      <w:r>
        <w:t xml:space="preserve"/>
      </w:r>
    </w:p>
    <w:p>
      <w:pPr>
        <w:spacing w:after="60" w:before="300"/>
        <w:jc w:val="right"/>
      </w:pPr>
      <w:r>
        <w:rPr>
          <w:rFonts w:ascii="Times New Roman" w:cs="Times New Roman" w:eastAsia="Times New Roman" w:hAnsi="Times New Roman"/>
          <w:i/>
          <w:iCs/>
          <w:sz w:val="24"/>
          <w:szCs w:val="24"/>
        </w:rPr>
        <w:t xml:space="preserve">....., ngày     tháng     năm 2026</w:t>
      </w:r>
    </w:p>
    <w:p>
      <w:pPr>
        <w:spacing w:after="40" w:before="60"/>
        <w:jc w:val="right"/>
      </w:pPr>
      <w:r>
        <w:rPr>
          <w:rFonts w:ascii="Times New Roman" w:cs="Times New Roman" w:eastAsia="Times New Roman" w:hAnsi="Times New Roman"/>
          <w:b/>
          <w:bCs/>
          <w:sz w:val="24"/>
          <w:szCs w:val="24"/>
        </w:rPr>
        <w:t xml:space="preserve">ĐẠI DIỆN NHÀ THẦU</w:t>
      </w:r>
    </w:p>
    <w:p>
      <w:pPr>
        <w:spacing w:after="20" w:before="20"/>
        <w:jc w:val="right"/>
      </w:pPr>
      <w:r>
        <w:rPr>
          <w:rFonts w:ascii="Times New Roman" w:cs="Times New Roman" w:eastAsia="Times New Roman" w:hAnsi="Times New Roman"/>
          <w:i/>
          <w:iCs/>
          <w:sz w:val="22"/>
          <w:szCs w:val="22"/>
        </w:rPr>
        <w:t xml:space="preserve">(Ký tên, đóng dấu)</w:t>
      </w:r>
    </w:p>
    <w:p>
      <w:pPr>
        <w:spacing w:after="60" w:before="60"/>
      </w:pPr>
      <w:r>
        <w:t xml:space="preserve"/>
      </w:r>
    </w:p>
    <w:p>
      <w:pPr>
        <w:spacing w:after="60" w:before="60"/>
      </w:pPr>
      <w:r>
        <w:t xml:space="preserve"/>
      </w:r>
    </w:p>
    <w:p>
      <w:pPr>
        <w:spacing w:after="60" w:before="60"/>
      </w:pPr>
      <w:r>
        <w:t xml:space="preserve"/>
      </w:r>
    </w:p>
    <w:p>
      <w:pPr>
        <w:spacing w:after="200" w:before="60"/>
        <w:jc w:val="right"/>
      </w:pPr>
      <w:r>
        <w:rPr>
          <w:rFonts w:ascii="Times New Roman" w:cs="Times New Roman" w:eastAsia="Times New Roman" w:hAnsi="Times New Roman"/>
          <w:sz w:val="24"/>
          <w:szCs w:val="24"/>
        </w:rPr>
        <w:t xml:space="preserv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3"/>
      </w:pBdr>
      <w:spacing w:before="100"/>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3"/>
      </w:pBdr>
      <w:spacing w:after="100"/>
      <w:jc w:val="right"/>
    </w:pPr>
    <w:r>
      <w:rPr>
        <w:rFonts w:ascii="Times New Roman" w:cs="Times New Roman" w:eastAsia="Times New Roman" w:hAnsi="Times New Roman"/>
        <w:color w:val="666666"/>
        <w:sz w:val="18"/>
        <w:szCs w:val="18"/>
      </w:rPr>
      <w:t xml:space="preserve">BIỆN PHÁP THI CÔNG – Gói thầu IB2600188229 | Chiếu sáng QL53B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062973f1177c8829664bb84ccc01d2060b4c0c.png"/><Relationship Id="rId10" Type="http://schemas.openxmlformats.org/officeDocument/2006/relationships/image" Target="media/b9db3df2096fec109a7f980ef6da5c9dbf171666.png"/><Relationship Id="rId11" Type="http://schemas.openxmlformats.org/officeDocument/2006/relationships/image" Target="media/12c43ba88c0b3e779590c7982e6e3c3a6d6bc17f.png"/><Relationship Id="rId12" Type="http://schemas.openxmlformats.org/officeDocument/2006/relationships/image" Target="media/6b3883d85ffe6f281bda6e2949974e776e026c69.png"/><Relationship Id="rId13" Type="http://schemas.openxmlformats.org/officeDocument/2006/relationships/image" Target="media/076e376f302519678d20716d84e994dbf21a5001.png"/><Relationship Id="rId14" Type="http://schemas.openxmlformats.org/officeDocument/2006/relationships/image" Target="media/fc5c1222cb1b808bcbe82f80944db87503daf2ae.png"/><Relationship Id="rId15" Type="http://schemas.openxmlformats.org/officeDocument/2006/relationships/image" Target="media/1660a1f9128af13580218be8df0202f3b9d41938.png"/><Relationship Id="rId16" Type="http://schemas.openxmlformats.org/officeDocument/2006/relationships/image" Target="media/4ad27625a1261d39665ed992fac808435548151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2026-05-06T05:38:56.251Z</dcterms:created>
  <dcterms:modified xsi:type="dcterms:W3CDTF">2026-05-06T05:38:56.269Z</dcterms:modified>
</cp:coreProperties>
</file>

<file path=docProps/custom.xml><?xml version="1.0" encoding="utf-8"?>
<Properties xmlns="http://schemas.openxmlformats.org/officeDocument/2006/custom-properties" xmlns:vt="http://schemas.openxmlformats.org/officeDocument/2006/docPropsVTypes"/>
</file>