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9360"/>
      </w:tblGrid>
      <w:tr>
        <w:trPr/>
        <w:tc>
          <w:tcPr>
            <w:tcW w:w="93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itle"/>
              <w:spacing w:lineRule="auto" w:line="240" w:before="0" w:after="0"/>
              <w:contextualSpacing/>
              <w:rPr/>
            </w:pPr>
            <w:r>
              <w:rPr/>
              <w:t>Susan Ong</w:t>
            </w:r>
          </w:p>
        </w:tc>
      </w:tr>
    </w:tbl>
    <w:p>
      <w:pPr>
        <w:pStyle w:val="ContactInfo"/>
        <w:rPr/>
      </w:pPr>
      <w:r>
        <w:rPr>
          <w:lang w:val="en-GB"/>
        </w:rPr>
        <w:t xml:space="preserve">+65 9100 9100 </w:t>
      </w:r>
      <w:r>
        <w:rPr/>
        <w:t xml:space="preserve">| </w:t>
      </w:r>
      <w:r>
        <w:rPr>
          <w:lang w:val="en-GB"/>
        </w:rPr>
        <w:t>susan.ong@gmail.com</w:t>
      </w:r>
    </w:p>
    <w:p>
      <w:pPr>
        <w:pStyle w:val="Heading1"/>
        <w:rPr/>
      </w:pPr>
      <w:r>
        <w:rPr/>
        <w:t>Executive Summary</w:t>
      </w:r>
    </w:p>
    <w:p>
      <w:pPr>
        <w:pStyle w:val="ListParagraph"/>
        <w:numPr>
          <w:ilvl w:val="0"/>
          <w:numId w:val="2"/>
        </w:numPr>
        <w:spacing w:lineRule="auto" w:line="259"/>
        <w:ind w:left="142" w:hanging="360"/>
        <w:rPr>
          <w:rFonts w:eastAsia="Century Gothic" w:eastAsiaTheme="minorHAnsi"/>
          <w:color w:val="404040" w:themeColor="text1" w:themeTint="bf"/>
          <w:sz w:val="22"/>
          <w:szCs w:val="22"/>
          <w:lang w:val="en-GB"/>
        </w:rPr>
      </w:pPr>
      <w:r>
        <w:rPr>
          <w:rFonts w:eastAsia="Century Gothic" w:eastAsiaTheme="minorHAnsi"/>
          <w:color w:val="404040" w:themeColor="text1" w:themeTint="bf"/>
          <w:sz w:val="22"/>
          <w:szCs w:val="22"/>
          <w:lang w:val="en-GB"/>
        </w:rPr>
        <w:t>Senior IT Account Director with over 12 years of experience at bluechip firms such as IBM, Microsoft and Oracle</w:t>
      </w:r>
    </w:p>
    <w:p>
      <w:pPr>
        <w:pStyle w:val="ListParagraph"/>
        <w:numPr>
          <w:ilvl w:val="0"/>
          <w:numId w:val="2"/>
        </w:numPr>
        <w:spacing w:lineRule="auto" w:line="259"/>
        <w:ind w:left="142" w:hanging="360"/>
        <w:rPr>
          <w:rFonts w:eastAsia="Century Gothic" w:eastAsiaTheme="minorHAnsi"/>
          <w:color w:val="404040" w:themeColor="text1" w:themeTint="bf"/>
          <w:sz w:val="22"/>
          <w:szCs w:val="22"/>
          <w:lang w:val="en-GB"/>
        </w:rPr>
      </w:pPr>
      <w:r>
        <w:rPr>
          <w:rFonts w:eastAsia="Century Gothic" w:eastAsiaTheme="minorHAnsi"/>
          <w:color w:val="404040" w:themeColor="text1" w:themeTint="bf"/>
          <w:sz w:val="22"/>
          <w:szCs w:val="22"/>
          <w:lang w:val="en-GB"/>
        </w:rPr>
        <w:t>Strong network of customers with annual spend in excess of 30 million USD. Clients include public bodies (LTA, SLA, GovTech) as well as private organisations (Singapore Zoo, MediaCorp)</w:t>
      </w:r>
    </w:p>
    <w:p>
      <w:pPr>
        <w:pStyle w:val="ListParagraph"/>
        <w:numPr>
          <w:ilvl w:val="0"/>
          <w:numId w:val="2"/>
        </w:numPr>
        <w:spacing w:lineRule="auto" w:line="259"/>
        <w:ind w:left="142" w:hanging="360"/>
        <w:rPr>
          <w:rFonts w:eastAsia="Century Gothic" w:eastAsiaTheme="minorHAnsi"/>
          <w:color w:val="404040" w:themeColor="text1" w:themeTint="bf"/>
          <w:sz w:val="22"/>
          <w:szCs w:val="22"/>
          <w:lang w:val="en-GB"/>
        </w:rPr>
      </w:pPr>
      <w:r>
        <w:rPr>
          <w:rFonts w:eastAsia="Century Gothic" w:eastAsiaTheme="minorHAnsi"/>
          <w:color w:val="404040" w:themeColor="text1" w:themeTint="bf"/>
          <w:sz w:val="22"/>
          <w:szCs w:val="22"/>
          <w:lang w:val="en-GB"/>
        </w:rPr>
        <w:t>Excellent track record for cultivating close relationships with clients, acting as both account manager and impartial solutions provider, resulting in deep trust and long term business clients</w:t>
      </w:r>
    </w:p>
    <w:p>
      <w:pPr>
        <w:pStyle w:val="Normal"/>
        <w:spacing w:lineRule="auto" w:line="259"/>
        <w:ind w:left="-218" w:hanging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59"/>
        <w:ind w:left="-218" w:hanging="0"/>
        <w:rPr>
          <w:lang w:val="en-GB"/>
        </w:rPr>
      </w:pPr>
      <w:r>
        <w:rPr>
          <w:lang w:val="en-GB"/>
        </w:rPr>
        <w:t>Achievements Include</w:t>
      </w:r>
    </w:p>
    <w:p>
      <w:pPr>
        <w:pStyle w:val="ListParagraph"/>
        <w:numPr>
          <w:ilvl w:val="0"/>
          <w:numId w:val="2"/>
        </w:numPr>
        <w:spacing w:lineRule="auto" w:line="259"/>
        <w:ind w:left="142" w:hanging="360"/>
        <w:rPr>
          <w:rFonts w:eastAsia="Century Gothic" w:eastAsiaTheme="minorHAnsi"/>
          <w:color w:val="404040" w:themeColor="text1" w:themeTint="bf"/>
          <w:sz w:val="22"/>
          <w:szCs w:val="22"/>
          <w:lang w:val="en-GB"/>
        </w:rPr>
      </w:pPr>
      <w:r>
        <w:rPr>
          <w:rFonts w:eastAsia="Century Gothic" w:eastAsiaTheme="minorHAnsi"/>
          <w:color w:val="404040" w:themeColor="text1" w:themeTint="bf"/>
          <w:sz w:val="22"/>
          <w:szCs w:val="22"/>
          <w:lang w:val="en-GB"/>
        </w:rPr>
        <w:t>Grew sales from portfolio of clients by 35% through consultative identification of client’s latent needs</w:t>
      </w:r>
    </w:p>
    <w:p>
      <w:pPr>
        <w:pStyle w:val="ListParagraph"/>
        <w:numPr>
          <w:ilvl w:val="0"/>
          <w:numId w:val="2"/>
        </w:numPr>
        <w:spacing w:lineRule="auto" w:line="259"/>
        <w:ind w:left="142" w:hanging="360"/>
        <w:rPr>
          <w:rFonts w:eastAsia="Century Gothic" w:eastAsiaTheme="minorHAnsi"/>
          <w:color w:val="404040" w:themeColor="text1" w:themeTint="bf"/>
          <w:sz w:val="22"/>
          <w:szCs w:val="22"/>
          <w:lang w:val="en-GB"/>
        </w:rPr>
      </w:pPr>
      <w:r>
        <w:rPr>
          <w:rFonts w:eastAsia="Century Gothic" w:eastAsiaTheme="minorHAnsi"/>
          <w:color w:val="404040" w:themeColor="text1" w:themeTint="bf"/>
          <w:sz w:val="22"/>
          <w:szCs w:val="22"/>
          <w:lang w:val="en-GB"/>
        </w:rPr>
        <w:t>Kickstarted partnerships with other solutions providers resulting in 3 million USD in additional sales in 2018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Key Skills</w:t>
      </w:r>
    </w:p>
    <w:p>
      <w:pPr>
        <w:pStyle w:val="Normal"/>
        <w:jc w:val="center"/>
        <w:rPr/>
      </w:pPr>
      <w:r>
        <w:rPr/>
        <w:t xml:space="preserve">Strategic Planning And Business Development • Program Management • Channel Partnerships • Contract Negotiations • ICT Solutions • Regional Account Management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/>
        <w:t>SENIOR ACCOUNT DIRECTOR | IBM BUSINESS SOLUTIONS | 2012 – PRESENT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Lead team of 12 to oversee full spectrum of account operations and servicing for 25 accounts with annual spend in excess of 30 million USD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network of channel sales partners; set and communicate sales targets whilst supporting local operations through sharing of best practices to drive sales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markets and recognised opportunities to expand business by adjusting product mix and targeting key verticals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Conceptualise and plan strategies marketing strategies to increase client acquisition and retain existing clients</w:t>
      </w:r>
    </w:p>
    <w:p>
      <w:pPr>
        <w:pStyle w:val="ListBullet"/>
        <w:numPr>
          <w:ilvl w:val="0"/>
          <w:numId w:val="0"/>
        </w:numPr>
        <w:ind w:left="144" w:hanging="0"/>
        <w:rPr>
          <w:lang w:val="en-GB"/>
        </w:rPr>
      </w:pPr>
      <w:r>
        <w:rPr>
          <w:lang w:val="en-GB"/>
        </w:rPr>
      </w:r>
    </w:p>
    <w:p>
      <w:pPr>
        <w:pStyle w:val="ListBullet"/>
        <w:numPr>
          <w:ilvl w:val="0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Significant Achievements</w:t>
      </w:r>
    </w:p>
    <w:p>
      <w:pPr>
        <w:pStyle w:val="ListBullet"/>
        <w:numPr>
          <w:ilvl w:val="0"/>
          <w:numId w:val="0"/>
        </w:numPr>
        <w:ind w:left="144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Successfully grew sales by 35% YOY through upselling of services to existing account portfolio. Built relationships with clients and understood unmet latent needs. Identified pain points and suggested IBM solutions to meet client’s organizational objectives</w:t>
      </w:r>
    </w:p>
    <w:p>
      <w:pPr>
        <w:pStyle w:val="Heading1"/>
        <w:rPr/>
      </w:pPr>
      <w:r>
        <w:rPr/>
        <w:t>Education</w:t>
      </w:r>
    </w:p>
    <w:p>
      <w:pPr>
        <w:pStyle w:val="Heading2"/>
        <w:rPr/>
      </w:pPr>
      <w:r>
        <w:rPr/>
        <w:t>master’s degree, 2008, insead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Awarded High Distinction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Specialisation in Organisational Psychology and Management</w:t>
      </w:r>
    </w:p>
    <w:p>
      <w:pPr>
        <w:pStyle w:val="Heading2"/>
        <w:rPr/>
      </w:pPr>
      <w:r>
        <w:rPr/>
        <w:t>BACHELOR’S DEGREE, 2000, UNIVERSITY OF TASMANIA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GPA: 3.98 / 4.00</w:t>
      </w:r>
    </w:p>
    <w:p>
      <w:pPr>
        <w:pStyle w:val="Heading1"/>
        <w:rPr/>
      </w:pPr>
      <w:r>
        <w:rPr/>
        <w:t>Misc Information</w:t>
      </w:r>
    </w:p>
    <w:p>
      <w:pPr>
        <w:pStyle w:val="Normal"/>
        <w:spacing w:before="0" w:after="0"/>
        <w:rPr>
          <w:lang w:val="en-GB"/>
        </w:rPr>
      </w:pPr>
      <w:r>
        <w:rPr>
          <w:b/>
          <w:lang w:val="en-GB"/>
        </w:rPr>
        <w:t xml:space="preserve">Languages: </w:t>
      </w:r>
      <w:r>
        <w:rPr>
          <w:lang w:val="en-GB"/>
        </w:rPr>
        <w:t>English, Mandarin</w:t>
      </w:r>
    </w:p>
    <w:p>
      <w:pPr>
        <w:pStyle w:val="Normal"/>
        <w:spacing w:before="0" w:after="0"/>
        <w:rPr>
          <w:lang w:val="en-GB"/>
        </w:rPr>
      </w:pPr>
      <w:r>
        <w:rPr>
          <w:b/>
          <w:lang w:val="en-GB"/>
        </w:rPr>
        <w:t xml:space="preserve">Technical Skills: </w:t>
      </w:r>
      <w:r>
        <w:rPr>
          <w:lang w:val="en-GB"/>
        </w:rPr>
        <w:t>Ruby, Python, C++</w:t>
      </w:r>
    </w:p>
    <w:p>
      <w:pPr>
        <w:pStyle w:val="Normal"/>
        <w:spacing w:before="0" w:after="0"/>
        <w:rPr>
          <w:lang w:val="en-GB"/>
        </w:rPr>
      </w:pPr>
      <w:r>
        <w:rPr>
          <w:b/>
          <w:lang w:val="en-GB"/>
        </w:rPr>
        <w:t xml:space="preserve">Availability: </w:t>
      </w:r>
      <w:r>
        <w:rPr>
          <w:lang w:val="en-GB"/>
        </w:rPr>
        <w:t>1 month’s notice</w:t>
      </w:r>
    </w:p>
    <w:p>
      <w:pPr>
        <w:pStyle w:val="ListBullet"/>
        <w:numPr>
          <w:ilvl w:val="0"/>
          <w:numId w:val="0"/>
        </w:numPr>
        <w:ind w:left="144" w:hanging="144"/>
        <w:rPr/>
      </w:pPr>
      <w:r>
        <w:rPr/>
      </w:r>
    </w:p>
    <w:p>
      <w:pPr>
        <w:pStyle w:val="ListBullet"/>
        <w:numPr>
          <w:ilvl w:val="0"/>
          <w:numId w:val="0"/>
        </w:numPr>
        <w:spacing w:before="0" w:after="240"/>
        <w:ind w:left="144" w:hanging="144"/>
        <w:contextualSpacing/>
        <w:rPr>
          <w:sz w:val="32"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1296" w:footer="792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7380965"/>
    </w:sdtPr>
    <w:sdtContent>
      <w:p>
        <w:pPr>
          <w:pStyle w:val="Footer"/>
          <w:rPr/>
        </w:pPr>
        <w:r>
          <w:rPr/>
          <w:t xml:space="preserve">Page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404040" w:themeColor="text1" w:themeTint="bf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a3af6"/>
    <w:pPr>
      <w:widowControl/>
      <w:bidi w:val="0"/>
      <w:spacing w:lineRule="auto" w:line="288" w:before="0" w:after="12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404040" w:themeColor="text1" w:themeTint="bf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lineRule="auto" w:line="240" w:before="420" w:after="80"/>
      <w:contextualSpacing/>
      <w:outlineLvl w:val="0"/>
    </w:pPr>
    <w:rPr>
      <w:rFonts w:ascii="Century Gothic" w:hAnsi="Century Gothic" w:eastAsia="" w:cs="" w:asciiTheme="majorHAnsi" w:cstheme="majorBidi" w:eastAsiaTheme="majorEastAsia" w:hAnsiTheme="majorHAns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Rule="auto" w:line="240" w:before="0" w:after="120"/>
      <w:contextualSpacing/>
      <w:outlineLvl w:val="1"/>
    </w:pPr>
    <w:rPr>
      <w:rFonts w:ascii="Century Gothic" w:hAnsi="Century Gothic" w:eastAsia="" w:cs="" w:asciiTheme="majorHAnsi" w:cstheme="majorBidi" w:eastAsiaTheme="majorEastAsia" w:hAnsiTheme="majorHAns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="Century Gothic" w:hAnsi="Century Gothic" w:eastAsia="" w:cs="" w:asciiTheme="majorHAnsi" w:cstheme="majorBidi" w:eastAsiaTheme="majorEastAsia" w:hAnsiTheme="majorHAns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A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Pr>
      <w:rFonts w:ascii="Century Gothic" w:hAnsi="Century Gothic" w:eastAsia="" w:cs="" w:asciiTheme="majorHAnsi" w:cstheme="majorBidi" w:eastAsiaTheme="majorEastAsia" w:hAnsiTheme="majorHAnsi"/>
      <w:color w:val="92278F" w:themeColor="accent1"/>
      <w:sz w:val="5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a3af6"/>
    <w:rPr>
      <w:rFonts w:ascii="Century Gothic" w:hAnsi="Century Gothic" w:eastAsia="" w:cs="" w:asciiTheme="majorHAnsi" w:cstheme="majorBidi" w:eastAsiaTheme="majorEastAsia" w:hAnsiTheme="majorHAnsi"/>
      <w:b/>
      <w:caps/>
      <w:szCs w:val="26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color w:val="92278F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a3af6"/>
    <w:rPr>
      <w:rFonts w:ascii="Century Gothic" w:hAnsi="Century Gothic" w:eastAsia="" w:cs="" w:asciiTheme="majorHAnsi" w:cstheme="majorBidi" w:eastAsiaTheme="majorEastAsia" w:hAnsiTheme="majorHAnsi"/>
      <w:b/>
      <w:color w:val="6D1D6A" w:themeColor="accent1" w:themeShade="bf"/>
      <w:sz w:val="24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color w:val="481346" w:themeColor="accent1" w:themeShade="7f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a3af6"/>
    <w:rPr>
      <w:rFonts w:ascii="Century Gothic" w:hAnsi="Century Gothic" w:eastAsia="" w:cs="" w:asciiTheme="majorHAnsi" w:cstheme="majorBidi" w:eastAsiaTheme="majorEastAsia" w:hAnsiTheme="majorHAnsi"/>
      <w:b/>
      <w:color w:val="6D1D6A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a3af6"/>
    <w:rPr>
      <w:rFonts w:ascii="Century Gothic" w:hAnsi="Century Gothic" w:eastAsia="" w:cs="" w:asciiTheme="majorHAnsi" w:cstheme="majorBidi" w:eastAsiaTheme="majorEastAsia" w:hAnsiTheme="majorHAnsi"/>
      <w:cap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a3af6"/>
    <w:rPr>
      <w:rFonts w:ascii="Century Gothic" w:hAnsi="Century Gothic" w:eastAsia="" w:cs="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a3af6"/>
    <w:rPr>
      <w:rFonts w:ascii="Century Gothic" w:hAnsi="Century Gothic" w:eastAsia="" w:cs="" w:asciiTheme="majorHAnsi" w:cstheme="majorBidi" w:eastAsiaTheme="majorEastAsia" w:hAnsiTheme="majorHAnsi"/>
      <w:color w:val="00000A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a3af6"/>
    <w:rPr>
      <w:rFonts w:ascii="Century Gothic" w:hAnsi="Century Gothic" w:eastAsia="" w:cs="" w:asciiTheme="majorHAnsi" w:cstheme="majorBidi" w:eastAsiaTheme="majorEastAsia" w:hAnsiTheme="majorHAnsi"/>
      <w:i/>
      <w:iCs/>
      <w:color w:val="00000A"/>
      <w:szCs w:val="21"/>
    </w:rPr>
  </w:style>
  <w:style w:type="character" w:styleId="DateChar" w:customStyle="1">
    <w:name w:val="Date Char"/>
    <w:basedOn w:val="DefaultParagraphFont"/>
    <w:link w:val="Date"/>
    <w:uiPriority w:val="1"/>
    <w:semiHidden/>
    <w:qFormat/>
    <w:rPr>
      <w:b/>
      <w:color w:val="0D0D0D" w:themeColor="text1" w:themeTint="f2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da3af6"/>
    <w:rPr>
      <w:rFonts w:eastAsia="" w:eastAsiaTheme="minorEastAsia"/>
      <w:color w:val="5A5A5A" w:themeColor="text1" w:themeTint="a5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a3af6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a3af6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a3af6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a3af6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a3af6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a3af6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a3af6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a3af6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a3af6"/>
    <w:rPr>
      <w:rFonts w:ascii="Consolas" w:hAnsi="Consolas"/>
      <w:sz w:val="22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da3af6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a3af6"/>
    <w:rPr>
      <w:rFonts w:ascii="Consolas" w:hAnsi="Consolas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entury Gothic" w:cs="Calibri Light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pPr>
      <w:spacing w:lineRule="auto" w:line="240" w:before="0" w:after="80"/>
      <w:contextualSpacing/>
    </w:pPr>
    <w:rPr>
      <w:rFonts w:ascii="Century Gothic" w:hAnsi="Century Gothic" w:eastAsia="" w:cs="" w:asciiTheme="majorHAnsi" w:cstheme="majorBidi" w:eastAsiaTheme="majorEastAsia" w:hAnsiTheme="majorHAnsi"/>
      <w:color w:val="92278F" w:themeColor="accent1"/>
      <w:sz w:val="5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Rule="auto" w:line="240" w:before="0" w:after="0"/>
      <w:ind w:left="4320" w:hanging="0"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spacing w:lineRule="auto" w:line="312" w:before="0" w:after="240"/>
      <w:contextualSpacing/>
    </w:pPr>
    <w:rPr>
      <w:szCs w:val="20"/>
    </w:rPr>
  </w:style>
  <w:style w:type="paragraph" w:styleId="ContactInfo" w:customStyle="1">
    <w:name w:val="Contact Info"/>
    <w:basedOn w:val="Normal"/>
    <w:uiPriority w:val="2"/>
    <w:qFormat/>
    <w:rsid w:val="00da3af6"/>
    <w:pPr>
      <w:spacing w:before="120" w:after="68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lineRule="auto" w:line="240" w:before="720" w:after="280"/>
      <w:contextualSpacing/>
    </w:pPr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80"/>
      <w:contextualSpacing/>
    </w:pPr>
    <w:rPr/>
  </w:style>
  <w:style w:type="paragraph" w:styleId="ListNumber">
    <w:name w:val="List Number"/>
    <w:basedOn w:val="Normal"/>
    <w:uiPriority w:val="11"/>
    <w:unhideWhenUsed/>
    <w:qFormat/>
    <w:rsid w:val="002e2f04"/>
    <w:pPr>
      <w:spacing w:before="0" w:after="120"/>
      <w:contextualSpacing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spacing w:before="0" w:after="160"/>
    </w:pPr>
    <w:rPr>
      <w:rFonts w:eastAsia="" w:eastAsiaTheme="minorEastAsia"/>
      <w:color w:val="5A5A5A" w:themeColor="text1" w:themeTint="a5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a3af6"/>
    <w:pPr>
      <w:spacing w:lineRule="auto" w:line="240" w:before="0" w:after="200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a3af6"/>
    <w:pPr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a3af6"/>
    <w:pPr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a3af6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a3af6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a3af6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da3af6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da3af6"/>
    <w:pPr>
      <w:spacing w:lineRule="auto" w:line="240" w:before="0" w:after="0"/>
    </w:pPr>
    <w:rPr>
      <w:rFonts w:ascii="Century Gothic" w:hAnsi="Century Gothic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da3af6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a3af6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da3af6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Century Gothic" w:cs="" w:cstheme="minorBidi" w:eastAsiaTheme="minorHAnsi"/>
      <w:color w:val="404040" w:themeColor="text1" w:themeTint="bf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a3af6"/>
    <w:pPr>
      <w:spacing w:lineRule="auto" w:line="240"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751f52"/>
    <w:pPr>
      <w:spacing w:lineRule="auto" w:line="240" w:before="0" w:after="0"/>
      <w:ind w:left="720" w:hanging="0"/>
      <w:contextualSpacing/>
    </w:pPr>
    <w:rPr>
      <w:rFonts w:eastAsia="" w:eastAsiaTheme="minorEastAsia"/>
      <w:color w:val="00000A"/>
      <w:sz w:val="24"/>
      <w:szCs w:val="24"/>
      <w:lang w:val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</Pages>
  <Words>320</Words>
  <Characters>1871</Characters>
  <CharactersWithSpaces>2149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2019-01-16T09:35:00Z</dcterms:created>
  <dc:creator>Jobelle Rosean Baldecañas - Fortun</dc:creator>
  <dc:description/>
  <dc:language>en-SG</dc:language>
  <cp:lastModifiedBy/>
  <dcterms:modified xsi:type="dcterms:W3CDTF">2019-10-17T14:35:50Z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