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-obtener-ayuda"/>
    <w:p>
      <w:pPr>
        <w:pStyle w:val="Heading1"/>
      </w:pPr>
      <w:bookmarkStart w:id="20" w:name="Page_477"/>
      <w:bookmarkEnd w:id="20"/>
      <w:r>
        <w:t xml:space="preserve">C</w:t>
      </w:r>
      <w:r>
        <w:br/>
      </w:r>
      <w:r>
        <w:t xml:space="preserve">Obtener ayuda</w:t>
      </w:r>
    </w:p>
    <w:p>
      <w:pPr>
        <w:pStyle w:val="Figure"/>
      </w:pPr>
      <w:r>
        <w:drawing>
          <wp:inline>
            <wp:extent cx="3867150" cy="386715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chapterart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Todo el mundo se atasca en algún momento cuando está aprendiendo a programar. Por eso, una de las habilidades más importantes que debes aprender como programador es cómo desatascarte eficazmente. Este apéndice describe varias formas de ayudarte a volver a ponerte en marcha cuando la programación se vuelve confusa.</w:t>
      </w:r>
    </w:p>
    <w:p>
      <w:pPr>
        <w:pStyle w:val="BodyText"/>
      </w:pPr>
      <w:hyperlink r:id="rId24">
        <w:r>
          <w:rPr>
            <w:rStyle w:val="Hyperlink"/>
          </w:rPr>
          <w:t xml:space="preserve">Subtema 1 de 13: (Ver todo)</w:t>
        </w:r>
      </w:hyperlink>
      <w:hyperlink r:id="rId25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6"/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4" Target="b03.html" TargetMode="External" /><Relationship Type="http://schemas.openxmlformats.org/officeDocument/2006/relationships/hyperlink" Id="rId26" Target="b03_1.docx" TargetMode="External" /><Relationship Type="http://schemas.openxmlformats.org/officeDocument/2006/relationships/hyperlink" Id="rId25" Target="b03_2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b03.html" TargetMode="External" /><Relationship Type="http://schemas.openxmlformats.org/officeDocument/2006/relationships/hyperlink" Id="rId26" Target="b03_1.docx" TargetMode="External" /><Relationship Type="http://schemas.openxmlformats.org/officeDocument/2006/relationships/hyperlink" Id="rId25" Target="b03_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2024-02-28T00:00:25Z</dcterms:created>
  <dcterms:modified xsi:type="dcterms:W3CDTF">2024-02-28T00:00:25Z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