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2-0013"/>
    <w:p>
      <w:pPr>
        <w:pStyle w:val="Heading3"/>
      </w:pPr>
      <w:r>
        <w:t xml:space="preserve">Guiones bajos en los números</w:t>
      </w:r>
    </w:p>
    <w:p>
      <w:pPr>
        <w:pStyle w:val="FirstParagraph"/>
      </w:pPr>
      <w:r>
        <w:t xml:space="preserve">Cuando escribas números largos, puedes agrupar los dígitos utilizando guiones bajos para que los números grandes sean más legibles:</w:t>
      </w:r>
    </w:p>
    <w:p>
      <w:pPr>
        <w:pStyle w:val="SourceCode"/>
      </w:pPr>
      <w:r>
        <w:rPr>
          <w:rStyle w:val="VerbatimChar"/>
        </w:rPr>
        <w:t xml:space="preserve">&gt;&gt;&gt; universe_age = 14_000_000_000</w:t>
      </w:r>
    </w:p>
    <w:p>
      <w:pPr>
        <w:pStyle w:val="FirstParagraph"/>
      </w:pPr>
      <w:r>
        <w:t xml:space="preserve">Cuando imprimes un número definido con guiones bajos, Python sólo imprime los dígitos:</w:t>
      </w:r>
    </w:p>
    <w:p>
      <w:pPr>
        <w:pStyle w:val="SourceCode"/>
      </w:pPr>
      <w:r>
        <w:rPr>
          <w:rStyle w:val="VerbatimChar"/>
        </w:rPr>
        <w:t xml:space="preserve">&gt;&gt;&gt; print(universe_age)</w:t>
      </w:r>
      <w:r>
        <w:br/>
      </w:r>
      <w:r>
        <w:rPr>
          <w:rStyle w:val="VerbatimChar"/>
        </w:rPr>
        <w:t xml:space="preserve">14000000000</w:t>
      </w:r>
    </w:p>
    <w:p>
      <w:pPr>
        <w:pStyle w:val="FirstParagraph"/>
      </w:pPr>
      <w:r>
        <w:t xml:space="preserve">Python ignora los guiones bajos cuando almacena este tipo de valores. Aunque no agrupes los dígitos de tres en tres, el valor no se verá afectado. Para Python,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es lo mismo que</w:t>
      </w:r>
      <w:r>
        <w:t xml:space="preserve"> </w:t>
      </w:r>
      <w:r>
        <w:rPr>
          <w:rStyle w:val="VerbatimChar"/>
        </w:rPr>
        <w:t xml:space="preserve">1_000</w:t>
      </w:r>
      <w:r>
        <w:t xml:space="preserve">, que es lo mismo que</w:t>
      </w:r>
      <w:r>
        <w:t xml:space="preserve"> </w:t>
      </w:r>
      <w:r>
        <w:rPr>
          <w:rStyle w:val="VerbatimChar"/>
        </w:rPr>
        <w:t xml:space="preserve">10_00</w:t>
      </w:r>
      <w:r>
        <w:t xml:space="preserve">. Esta característica funciona tanto para enteros como para flotantes.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23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2.html" TargetMode="External" /><Relationship Type="http://schemas.openxmlformats.org/officeDocument/2006/relationships/hyperlink" Id="rId20" Target="c02_22.html" TargetMode="External" /><Relationship Type="http://schemas.openxmlformats.org/officeDocument/2006/relationships/hyperlink" Id="rId23" Target="c02_23.docx" TargetMode="External" /><Relationship Type="http://schemas.openxmlformats.org/officeDocument/2006/relationships/hyperlink" Id="rId22" Target="c02_2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2.html" TargetMode="External" /><Relationship Type="http://schemas.openxmlformats.org/officeDocument/2006/relationships/hyperlink" Id="rId20" Target="c02_22.html" TargetMode="External" /><Relationship Type="http://schemas.openxmlformats.org/officeDocument/2006/relationships/hyperlink" Id="rId23" Target="c02_23.docx" TargetMode="External" /><Relationship Type="http://schemas.openxmlformats.org/officeDocument/2006/relationships/hyperlink" Id="rId22" Target="c02_2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2024-02-28T00:01:10Z</dcterms:created>
  <dcterms:modified xsi:type="dcterms:W3CDTF">2024-02-28T00:01:10Z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