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5-0013"/>
    <w:p>
      <w:pPr>
        <w:pStyle w:val="Heading3"/>
      </w:pPr>
      <w:bookmarkStart w:id="20" w:name="Page_82"/>
      <w:bookmarkEnd w:id="20"/>
      <w:r>
        <w:t xml:space="preserve">Omitir el bloque else</w:t>
      </w:r>
    </w:p>
    <w:p>
      <w:pPr>
        <w:pStyle w:val="FirstParagraph"/>
      </w:pPr>
      <w:r>
        <w:t xml:space="preserve">Python no requiere un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al final de una cadena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elif</w:t>
      </w:r>
      <w:r>
        <w:t xml:space="preserve">. A veces, un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es útil. Otras veces, es más claro utilizar una sentencia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adicional que capture la condición específica de interés:</w:t>
      </w:r>
    </w:p>
    <w:p>
      <w:pPr>
        <w:pStyle w:val="SourceCode"/>
      </w:pPr>
      <w:r>
        <w:rPr>
          <w:rStyle w:val="VerbatimChar"/>
        </w:rPr>
        <w:t xml:space="preserve">age = 12</w:t>
      </w:r>
      <w:r>
        <w:br/>
      </w:r>
      <w:r>
        <w:br/>
      </w:r>
      <w:r>
        <w:rPr>
          <w:rStyle w:val="VerbatimChar"/>
        </w:rPr>
        <w:t xml:space="preserve">if age &lt; 4:</w:t>
      </w:r>
      <w:r>
        <w:br/>
      </w:r>
      <w:r>
        <w:rPr>
          <w:rStyle w:val="VerbatimChar"/>
        </w:rPr>
        <w:t xml:space="preserve">    price = 0</w:t>
      </w:r>
      <w:r>
        <w:br/>
      </w:r>
      <w:r>
        <w:rPr>
          <w:rStyle w:val="VerbatimChar"/>
        </w:rPr>
        <w:t xml:space="preserve">elif age &lt; 18:</w:t>
      </w:r>
      <w:r>
        <w:br/>
      </w:r>
      <w:r>
        <w:rPr>
          <w:rStyle w:val="VerbatimChar"/>
        </w:rPr>
        <w:t xml:space="preserve">    price = 25</w:t>
      </w:r>
      <w:r>
        <w:br/>
      </w:r>
      <w:r>
        <w:rPr>
          <w:rStyle w:val="VerbatimChar"/>
        </w:rPr>
        <w:t xml:space="preserve">elif age &lt; 65:</w:t>
      </w:r>
      <w:r>
        <w:br/>
      </w:r>
      <w:r>
        <w:rPr>
          <w:rStyle w:val="VerbatimChar"/>
        </w:rPr>
        <w:t xml:space="preserve">    price = 40</w:t>
      </w:r>
      <w:r>
        <w:br/>
      </w:r>
      <w:r>
        <w:rPr>
          <w:rStyle w:val="VerbatimChar"/>
        </w:rPr>
        <w:t xml:space="preserve">elif age &gt;= 65:</w:t>
      </w:r>
      <w:r>
        <w:br/>
      </w:r>
      <w:r>
        <w:rPr>
          <w:rStyle w:val="VerbatimChar"/>
        </w:rPr>
        <w:t xml:space="preserve">    price = 20</w:t>
      </w:r>
      <w:r>
        <w:br/>
      </w:r>
      <w:r>
        <w:br/>
      </w:r>
      <w:r>
        <w:rPr>
          <w:rStyle w:val="VerbatimChar"/>
        </w:rPr>
        <w:t xml:space="preserve">print(f"Your admission cost is ${price}.")</w:t>
      </w:r>
    </w:p>
    <w:p>
      <w:pPr>
        <w:pStyle w:val="FirstParagraph"/>
      </w:pPr>
      <w:r>
        <w:t xml:space="preserve">El bloque final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asigna un precio de 20 $ cuando la persona tiene 65 años o más, lo que es un poco más claro que el bloque general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 Con este cambio, cada bloque de código debe superar una prueba específica para poder ejecutarse.</w:t>
      </w:r>
    </w:p>
    <w:p>
      <w:pPr>
        <w:pStyle w:val="BodyText"/>
      </w:pPr>
      <w:r>
        <w:t xml:space="preserve">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es una sentencia catchall. Iguala cualquier condición que no haya sido igualada por una prueba específica de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 y eso a veces puede incluir datos no válidos o incluso maliciosos. Si tienes una condición final específica que estás comprobando, considera la posibilidad de utilizar un bloque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final y omitir 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 Como resultado, estarás más seguro de que tu código se ejecutará sólo en las condiciones correctas.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18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5.html" TargetMode="External" /><Relationship Type="http://schemas.openxmlformats.org/officeDocument/2006/relationships/hyperlink" Id="rId21" Target="c05_17.html" TargetMode="External" /><Relationship Type="http://schemas.openxmlformats.org/officeDocument/2006/relationships/hyperlink" Id="rId24" Target="c05_18.docx" TargetMode="External" /><Relationship Type="http://schemas.openxmlformats.org/officeDocument/2006/relationships/hyperlink" Id="rId23" Target="c05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5.html" TargetMode="External" /><Relationship Type="http://schemas.openxmlformats.org/officeDocument/2006/relationships/hyperlink" Id="rId21" Target="c05_17.html" TargetMode="External" /><Relationship Type="http://schemas.openxmlformats.org/officeDocument/2006/relationships/hyperlink" Id="rId24" Target="c05_18.docx" TargetMode="External" /><Relationship Type="http://schemas.openxmlformats.org/officeDocument/2006/relationships/hyperlink" Id="rId23" Target="c05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2024-02-28T00:01:47Z</dcterms:created>
  <dcterms:modified xsi:type="dcterms:W3CDTF">2024-02-28T00:01:47Z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