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08-0017"/>
    <w:p>
      <w:pPr>
        <w:pStyle w:val="Heading3"/>
      </w:pPr>
      <w:r>
        <w:t xml:space="preserve">Importar funciones específicas</w:t>
      </w:r>
    </w:p>
    <w:p>
      <w:pPr>
        <w:pStyle w:val="FirstParagraph"/>
      </w:pPr>
      <w:r>
        <w:t xml:space="preserve">También puedes importar una función específica de un módulo. Esta es la sintaxis general para este enfoque:</w:t>
      </w:r>
    </w:p>
    <w:p>
      <w:pPr>
        <w:pStyle w:val="SourceCode"/>
      </w:pPr>
      <w:r>
        <w:rPr>
          <w:rStyle w:val="VerbatimChar"/>
        </w:rPr>
        <w:t xml:space="preserve">from module_name import function_name</w:t>
      </w:r>
    </w:p>
    <w:p>
      <w:pPr>
        <w:pStyle w:val="FirstParagraph"/>
      </w:pPr>
      <w:r>
        <w:t xml:space="preserve">Puedes importar tantas funciones como quieras de un módulo separando el nombre de cada función con una coma:</w:t>
      </w:r>
    </w:p>
    <w:p>
      <w:pPr>
        <w:pStyle w:val="SourceCode"/>
      </w:pPr>
      <w:r>
        <w:rPr>
          <w:rStyle w:val="VerbatimChar"/>
        </w:rPr>
        <w:t xml:space="preserve">from module_name import function_0, function_1, function_2</w:t>
      </w:r>
    </w:p>
    <w:p>
      <w:pPr>
        <w:pStyle w:val="FirstParagraph"/>
      </w:pPr>
      <w:r>
        <w:t xml:space="preserve">El ejemplo de</w:t>
      </w:r>
      <w:r>
        <w:t xml:space="preserve"> </w:t>
      </w:r>
      <w:r>
        <w:rPr>
          <w:i/>
          <w:iCs/>
        </w:rPr>
        <w:t xml:space="preserve">making_pizzas.py</w:t>
      </w:r>
      <w:r>
        <w:t xml:space="preserve"> </w:t>
      </w:r>
      <w:r>
        <w:t xml:space="preserve">tendría este aspecto si quisiéramos importar sólo la función que vamos a utilizar:</w:t>
      </w:r>
    </w:p>
    <w:p>
      <w:pPr>
        <w:pStyle w:val="SourceCode"/>
      </w:pPr>
      <w:r>
        <w:rPr>
          <w:rStyle w:val="VerbatimChar"/>
        </w:rPr>
        <w:t xml:space="preserve">from pizza import make_pizza</w:t>
      </w:r>
      <w:r>
        <w:br/>
      </w:r>
      <w:r>
        <w:br/>
      </w:r>
      <w:r>
        <w:rPr>
          <w:rStyle w:val="VerbatimChar"/>
        </w:rPr>
        <w:t xml:space="preserve">make_pizza(16, 'pepperoni')</w:t>
      </w:r>
      <w:r>
        <w:br/>
      </w:r>
      <w:r>
        <w:rPr>
          <w:rStyle w:val="VerbatimChar"/>
        </w:rPr>
        <w:t xml:space="preserve">make_pizza(12, 'mushrooms', 'green peppers', 'extra cheese')</w:t>
      </w:r>
    </w:p>
    <w:p>
      <w:pPr>
        <w:pStyle w:val="FirstParagraph"/>
      </w:pPr>
      <w:r>
        <w:t xml:space="preserve">Con esta sintaxis, no necesitas utilizar la notación de punto cuando llames a una función. Como hemos importado explícitamente la función</w:t>
      </w:r>
      <w:r>
        <w:t xml:space="preserve"> </w:t>
      </w:r>
      <w:r>
        <w:rPr>
          <w:rStyle w:val="VerbatimChar"/>
        </w:rPr>
        <w:t xml:space="preserve">make_pizza()</w:t>
      </w:r>
      <w:r>
        <w:t xml:space="preserve"> </w:t>
      </w:r>
      <w:r>
        <w:t xml:space="preserve">en la sentencia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, podemos llamarla por su nombre cuando utilicemos la función.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34 de 40: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8.html" TargetMode="External" /><Relationship Type="http://schemas.openxmlformats.org/officeDocument/2006/relationships/hyperlink" Id="rId20" Target="c08_33.html" TargetMode="External" /><Relationship Type="http://schemas.openxmlformats.org/officeDocument/2006/relationships/hyperlink" Id="rId23" Target="c08_34.docx" TargetMode="External" /><Relationship Type="http://schemas.openxmlformats.org/officeDocument/2006/relationships/hyperlink" Id="rId22" Target="c08_3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8.html" TargetMode="External" /><Relationship Type="http://schemas.openxmlformats.org/officeDocument/2006/relationships/hyperlink" Id="rId20" Target="c08_33.html" TargetMode="External" /><Relationship Type="http://schemas.openxmlformats.org/officeDocument/2006/relationships/hyperlink" Id="rId23" Target="c08_34.docx" TargetMode="External" /><Relationship Type="http://schemas.openxmlformats.org/officeDocument/2006/relationships/hyperlink" Id="rId22" Target="c08_3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2024-02-28T00:02:39Z</dcterms:created>
  <dcterms:modified xsi:type="dcterms:W3CDTF">2024-02-28T00:02:39Z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