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11-0009"/>
    <w:p>
      <w:pPr>
        <w:pStyle w:val="Heading3"/>
      </w:pPr>
      <w:r>
        <w:t xml:space="preserve">Variedad de afirmaciones</w:t>
      </w:r>
    </w:p>
    <w:p>
      <w:pPr>
        <w:pStyle w:val="FirstParagraph"/>
      </w:pPr>
      <w:r>
        <w:t xml:space="preserve">Hasta ahora sólo has visto un tipo de aserción: la afirmación de que una cadena tiene un valor determinado. Al escribir una prueba, puedes hacer cualquier afirmación que pueda expresarse como una declaración condicional. Si la condición 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como esperabas, se confirmará tu suposición sobre cómo se comporta esa parte de tu programa; puedes estar seguro de que no existen errores. Si la condición que</w:t>
      </w:r>
      <w:r>
        <w:t xml:space="preserve"> </w:t>
      </w:r>
      <w:bookmarkStart w:id="20" w:name="Page_218"/>
      <w:bookmarkEnd w:id="20"/>
      <w:r>
        <w:t xml:space="preserve">supone que 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es en realidad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la prueba fallará y sabrás que hay un problema que resolver.</w:t>
      </w:r>
      <w:r>
        <w:t xml:space="preserve"> </w:t>
      </w:r>
      <w:hyperlink w:anchor="table11-1">
        <w:r>
          <w:rPr>
            <w:rStyle w:val="Hyperlink"/>
          </w:rPr>
          <w:t xml:space="preserve">La Tabla 11-1</w:t>
        </w:r>
      </w:hyperlink>
      <w:r>
        <w:t xml:space="preserve"> </w:t>
      </w:r>
      <w:r>
        <w:t xml:space="preserve">muestra algunos de los tipos de aserciones más útiles que puedes incluir en tus pruebas iniciales.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bookmarkStart w:id="21" w:name="table-502703c11-0001"/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Afirmación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Afirmación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 a == 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 dos valores son iguales.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 a != 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 dos valores no son iguales.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 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a</w:t>
                  </w:r>
                  <w:r>
                    <w:t xml:space="preserve"> </w:t>
                  </w:r>
                  <w:r>
                    <w:t xml:space="preserve">es igual a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True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 not 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a</w:t>
                  </w:r>
                  <w:r>
                    <w:t xml:space="preserve"> </w:t>
                  </w:r>
                  <w:r>
                    <w:t xml:space="preserve">se evalúa como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False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elemento</w:t>
                  </w:r>
                  <w:r>
                    <w:rPr>
                      <w:rStyle w:val="VerbatimChar"/>
                    </w:rPr>
                    <w:t xml:space="preserve"> in </w:t>
                  </w:r>
                  <w:r>
                    <w:rPr>
                      <w:rStyle w:val="VerbatimChar"/>
                    </w:rPr>
                    <w:t xml:space="preserve">lista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 un elemento está en una lista.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assert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elemento</w:t>
                  </w:r>
                  <w:r>
                    <w:rPr>
                      <w:rStyle w:val="VerbatimChar"/>
                    </w:rPr>
                    <w:t xml:space="preserve"> not in </w:t>
                  </w:r>
                  <w:r>
                    <w:t xml:space="preserve"> </w:t>
                  </w:r>
                  <w:r>
                    <w:t xml:space="preserve">lista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Afirma que un elemento no está en una lista.</w:t>
                  </w:r>
                </w:p>
              </w:tc>
            </w:tr>
          </w:tbl>
          <w:bookmarkEnd w:id="21"/>
          <w:p/>
        </w:tc>
      </w:tr>
    </w:tbl>
    <w:p>
      <w:pPr>
        <w:pStyle w:val="ImageCaption"/>
      </w:pPr>
      <w:bookmarkStart w:id="22" w:name="table11-1"/>
      <w:r>
        <w:t xml:space="preserve">Tabla 11-1</w:t>
      </w:r>
      <w:bookmarkEnd w:id="22"/>
      <w:r>
        <w:t xml:space="preserve">: Afirmaciones de uso común en las pruebas</w:t>
      </w:r>
    </w:p>
    <w:p>
      <w:pPr>
        <w:pStyle w:val="BodyText"/>
      </w:pPr>
      <w:r>
        <w:t xml:space="preserve">Estos son sólo algunos ejemplos; cualquier cosa que pueda expresarse como una declaración condicional puede incluirse en una prueba.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17 de 22: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1.html" TargetMode="External" /><Relationship Type="http://schemas.openxmlformats.org/officeDocument/2006/relationships/hyperlink" Id="rId23" Target="c11_16.html" TargetMode="External" /><Relationship Type="http://schemas.openxmlformats.org/officeDocument/2006/relationships/hyperlink" Id="rId26" Target="c11_17.docx" TargetMode="External" /><Relationship Type="http://schemas.openxmlformats.org/officeDocument/2006/relationships/hyperlink" Id="rId25" Target="c11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1.html" TargetMode="External" /><Relationship Type="http://schemas.openxmlformats.org/officeDocument/2006/relationships/hyperlink" Id="rId23" Target="c11_16.html" TargetMode="External" /><Relationship Type="http://schemas.openxmlformats.org/officeDocument/2006/relationships/hyperlink" Id="rId26" Target="c11_17.docx" TargetMode="External" /><Relationship Type="http://schemas.openxmlformats.org/officeDocument/2006/relationships/hyperlink" Id="rId25" Target="c11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2024-02-28T00:03:30Z</dcterms:created>
  <dcterms:modified xsi:type="dcterms:W3CDTF">2024-02-28T00:03:30Z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