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1-0003"/>
    <w:p>
      <w:pPr>
        <w:pStyle w:val="Heading3"/>
      </w:pPr>
      <w:r>
        <w:t xml:space="preserve">Pruebas unitarias y casos de prueba</w:t>
      </w:r>
    </w:p>
    <w:p>
      <w:pPr>
        <w:pStyle w:val="FirstParagraph"/>
      </w:pPr>
      <w:r>
        <w:t xml:space="preserve">Existe una gran variedad de enfoques para probar el software. Uno de los tipos de prueba más sencillos es la prueba unitaria. Una</w:t>
      </w:r>
      <w:r>
        <w:t xml:space="preserve"> </w:t>
      </w:r>
      <w:r>
        <w:rPr>
          <w:i/>
          <w:iCs/>
        </w:rPr>
        <w:t xml:space="preserve">unit test</w:t>
      </w:r>
      <w:r>
        <w:t xml:space="preserve"> </w:t>
      </w:r>
      <w:r>
        <w:t xml:space="preserve">verifica que un aspecto concreto del comportamiento de una función es correcto. Un</w:t>
      </w:r>
      <w:r>
        <w:t xml:space="preserve"> </w:t>
      </w:r>
      <w:r>
        <w:rPr>
          <w:i/>
          <w:iCs/>
        </w:rPr>
        <w:t xml:space="preserve">test case</w:t>
      </w:r>
      <w:r>
        <w:t xml:space="preserve"> </w:t>
      </w:r>
      <w:r>
        <w:t xml:space="preserve">es una colección de pruebas unitarias que, en conjunto, demuestran que una función se comporta como se supone que debe hacerlo, dentro de toda la gama de situaciones que esperas que maneje.</w:t>
      </w:r>
    </w:p>
    <w:p>
      <w:pPr>
        <w:pStyle w:val="BodyText"/>
      </w:pPr>
      <w:r>
        <w:t xml:space="preserve">Un buen caso de prueba tiene en cuenta todos los tipos posibles de entrada que podría recibir una función e incluye pruebas para representar cada una de estas situaciones. Un caso de prueba con</w:t>
      </w:r>
      <w:r>
        <w:t xml:space="preserve"> </w:t>
      </w:r>
      <w:r>
        <w:rPr>
          <w:i/>
          <w:iCs/>
        </w:rPr>
        <w:t xml:space="preserve">full coverage</w:t>
      </w:r>
      <w:r>
        <w:t xml:space="preserve"> </w:t>
      </w:r>
      <w:r>
        <w:t xml:space="preserve">incluye una gama completa de pruebas unitarias que cubren todas las formas posibles de utilizar una función. Conseguir una cobertura completa en un proyecto grande puede ser desalentador. A menudo es suficiente con escribir pruebas para los comportamientos críticos de tu código y luego aspirar a una cobertura total sólo si el proyecto empieza a tener un uso generalizado.</w:t>
      </w:r>
    </w:p>
    <w:p>
      <w:pPr>
        <w:pStyle w:val="BodyText"/>
      </w:pPr>
      <w:hyperlink r:id="rId20">
        <w:r>
          <w:rPr>
            <w:rStyle w:val="Hyperlink"/>
          </w:rPr>
          <w:t xml:space="preserve">anterior</w:t>
        </w:r>
      </w:hyperlink>
      <w:hyperlink r:id="rId21">
        <w:r>
          <w:rPr>
            <w:rStyle w:val="Hyperlink"/>
          </w:rPr>
          <w:t xml:space="preserve">Subtema 8 de 22: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1.html" TargetMode="External" /><Relationship Type="http://schemas.openxmlformats.org/officeDocument/2006/relationships/hyperlink" Id="rId20" Target="c11_7.html" TargetMode="External" /><Relationship Type="http://schemas.openxmlformats.org/officeDocument/2006/relationships/hyperlink" Id="rId23" Target="c11_8.docx" TargetMode="External" /><Relationship Type="http://schemas.openxmlformats.org/officeDocument/2006/relationships/hyperlink" Id="rId22" Target="c11_9.html" TargetMode="External" /></Relationships>
</file>

<file path=word/_rels/footnotes.xml.rels><?xml version="1.0" encoding="UTF-8"?><Relationships xmlns="http://schemas.openxmlformats.org/package/2006/relationships"><Relationship Type="http://schemas.openxmlformats.org/officeDocument/2006/relationships/hyperlink" Id="rId21" Target="c11.html" TargetMode="External" /><Relationship Type="http://schemas.openxmlformats.org/officeDocument/2006/relationships/hyperlink" Id="rId20" Target="c11_7.html" TargetMode="External" /><Relationship Type="http://schemas.openxmlformats.org/officeDocument/2006/relationships/hyperlink" Id="rId23" Target="c11_8.docx" TargetMode="External" /><Relationship Type="http://schemas.openxmlformats.org/officeDocument/2006/relationships/hyperlink" Id="rId22" Target="c11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2024-02-28T00:03:37Z</dcterms:created>
  <dcterms:modified xsi:type="dcterms:W3CDTF">2024-02-28T00:03:37Z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