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5-11"/>
      <w:r>
        <w:t xml:space="preserve">15-1. Cubos:</w:t>
      </w:r>
      <w:bookmarkEnd w:id="20"/>
      <w:r>
        <w:t xml:space="preserve"> </w:t>
      </w:r>
      <w:r>
        <w:t xml:space="preserve">Un número elevado a la tercera potencia es un</w:t>
      </w:r>
      <w:r>
        <w:t xml:space="preserve"> </w:t>
      </w:r>
      <w:r>
        <w:rPr>
          <w:i/>
          <w:iCs/>
        </w:rPr>
        <w:t xml:space="preserve">cube</w:t>
      </w:r>
      <w:r>
        <w:t xml:space="preserve">. Traza los cinco primeros números cúbicos, y luego traza los 5.000 primeros números cúbicos.</w:t>
      </w:r>
    </w:p>
    <w:p>
      <w:pPr>
        <w:pStyle w:val="BodyText"/>
      </w:pPr>
      <w:bookmarkStart w:id="21" w:name="h2-502703c15-12"/>
      <w:r>
        <w:t xml:space="preserve">15-2. Cubos coloreados:</w:t>
      </w:r>
      <w:bookmarkEnd w:id="21"/>
      <w:r>
        <w:t xml:space="preserve"> </w:t>
      </w:r>
      <w:r>
        <w:t xml:space="preserve">Aplica un mapa de colores a tu gráfico de cubos.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15 de 35: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5.html" TargetMode="External" /><Relationship Type="http://schemas.openxmlformats.org/officeDocument/2006/relationships/hyperlink" Id="rId22" Target="c15_14.html" TargetMode="External" /><Relationship Type="http://schemas.openxmlformats.org/officeDocument/2006/relationships/hyperlink" Id="rId25" Target="c15_15.docx" TargetMode="External" /><Relationship Type="http://schemas.openxmlformats.org/officeDocument/2006/relationships/hyperlink" Id="rId24" Target="c15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5.html" TargetMode="External" /><Relationship Type="http://schemas.openxmlformats.org/officeDocument/2006/relationships/hyperlink" Id="rId22" Target="c15_14.html" TargetMode="External" /><Relationship Type="http://schemas.openxmlformats.org/officeDocument/2006/relationships/hyperlink" Id="rId25" Target="c15_15.docx" TargetMode="External" /><Relationship Type="http://schemas.openxmlformats.org/officeDocument/2006/relationships/hyperlink" Id="rId24" Target="c15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2024-02-28T00:04:28Z</dcterms:created>
  <dcterms:modified xsi:type="dcterms:W3CDTF">2024-02-28T00:04:28Z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