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5-0001"/>
    <w:p>
      <w:pPr>
        <w:pStyle w:val="Heading3"/>
      </w:pPr>
      <w:r>
        <w:t xml:space="preserve">Cambiar el tipo de etiqueta y el grosor de la línea</w:t>
      </w:r>
    </w:p>
    <w:p>
      <w:pPr>
        <w:pStyle w:val="FirstParagraph"/>
      </w:pPr>
      <w:r>
        <w:t xml:space="preserve">Aunque el gráfico de</w:t>
      </w:r>
      <w:r>
        <w:t xml:space="preserve"> </w:t>
      </w:r>
      <w:hyperlink w:anchor="figure15-1">
        <w:r>
          <w:rPr>
            <w:rStyle w:val="Hyperlink"/>
          </w:rPr>
          <w:t xml:space="preserve">la Figura 15-1</w:t>
        </w:r>
      </w:hyperlink>
      <w:r>
        <w:t xml:space="preserve"> </w:t>
      </w:r>
      <w:r>
        <w:t xml:space="preserve">muestra que los números están aumentando, el tipo de etiqueta es demasiado pequeño y la línea es un poco fina para leerla fácilmente. Afortunadamente, Matplotlib te permite ajustar todas las características de una visualización.</w:t>
      </w:r>
    </w:p>
    <w:p>
      <w:pPr>
        <w:pStyle w:val="BodyText"/>
      </w:pPr>
      <w:bookmarkStart w:id="20" w:name="Page_304"/>
      <w:bookmarkEnd w:id="20"/>
      <w:r>
        <w:t xml:space="preserve">Utilizaremos algunas de las personalizaciones disponibles para mejorar la legibilidad de este gráfico. Empecemos por añadir un título y etiquetar los ejes:</w:t>
      </w:r>
    </w:p>
    <w:p>
      <w:pPr>
        <w:pStyle w:val="BodyText"/>
      </w:pPr>
      <w:r>
        <w:rPr>
          <w:b/>
          <w:bCs/>
        </w:rPr>
        <w:t xml:space="preserve">mpl_squares.py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squares = [1, 4, 9, 16, 25]</w:t>
      </w:r>
      <w:r>
        <w:br/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❶ ax.plot(squares, linewidth=3)</w:t>
      </w:r>
      <w:r>
        <w:br/>
      </w:r>
      <w:r>
        <w:br/>
      </w:r>
      <w:r>
        <w:rPr>
          <w:rStyle w:val="VerbatimChar"/>
        </w:rPr>
        <w:t xml:space="preserve"># Set chart title and label axes.</w:t>
      </w:r>
      <w:r>
        <w:br/>
      </w:r>
      <w:r>
        <w:rPr>
          <w:rStyle w:val="VerbatimChar"/>
        </w:rPr>
        <w:t xml:space="preserve">❷ ax.set_title("Square Numbers", fontsize=24)</w:t>
      </w:r>
      <w:r>
        <w:br/>
      </w:r>
      <w:r>
        <w:rPr>
          <w:rStyle w:val="VerbatimChar"/>
        </w:rPr>
        <w:t xml:space="preserve">❸ ax.set_xlabel("Value", fontsize=14)</w:t>
      </w:r>
      <w:r>
        <w:br/>
      </w:r>
      <w:r>
        <w:rPr>
          <w:rStyle w:val="VerbatimChar"/>
        </w:rPr>
        <w:t xml:space="preserve">ax.set_ylabel("Square of Value", fontsize=14)</w:t>
      </w:r>
      <w:r>
        <w:br/>
      </w:r>
      <w:r>
        <w:br/>
      </w:r>
      <w:r>
        <w:rPr>
          <w:rStyle w:val="VerbatimChar"/>
        </w:rPr>
        <w:t xml:space="preserve"># Set size of tick labels.</w:t>
      </w:r>
      <w:r>
        <w:br/>
      </w:r>
      <w:r>
        <w:rPr>
          <w:rStyle w:val="VerbatimChar"/>
        </w:rPr>
        <w:t xml:space="preserve">❹ ax.tick_params(labelsize=14)</w:t>
      </w:r>
      <w:r>
        <w:br/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El parámetro</w:t>
      </w:r>
      <w:r>
        <w:t xml:space="preserve"> </w:t>
      </w:r>
      <w:r>
        <w:rPr>
          <w:rStyle w:val="VerbatimChar"/>
        </w:rPr>
        <w:t xml:space="preserve">linewidth</w:t>
      </w:r>
      <w:r>
        <w:t xml:space="preserve"> </w:t>
      </w:r>
      <w:r>
        <w:t xml:space="preserve">controla el grosor de la línea que genera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❶.</w:t>
      </w:r>
      <w:r>
        <w:t xml:space="preserve"> </w:t>
      </w:r>
      <w:r>
        <w:t xml:space="preserve">Una vez generado el gráfico, hay muchos métodos disponibles para modificarlo antes de presentarlo. El método</w:t>
      </w:r>
      <w:r>
        <w:t xml:space="preserve"> </w:t>
      </w:r>
      <w:r>
        <w:rPr>
          <w:rStyle w:val="VerbatimChar"/>
        </w:rPr>
        <w:t xml:space="preserve">set_title()</w:t>
      </w:r>
      <w:r>
        <w:t xml:space="preserve"> </w:t>
      </w:r>
      <w:r>
        <w:t xml:space="preserve">establece un título general para el gráfico</w:t>
      </w:r>
      <w:r>
        <w:t xml:space="preserve"> </w:t>
      </w:r>
      <w:r>
        <w:t xml:space="preserve">❷.</w:t>
      </w:r>
      <w:r>
        <w:t xml:space="preserve"> </w:t>
      </w:r>
      <w:r>
        <w:t xml:space="preserve">Los parámetros</w:t>
      </w:r>
      <w:r>
        <w:t xml:space="preserve"> </w:t>
      </w:r>
      <w:r>
        <w:rPr>
          <w:rStyle w:val="VerbatimChar"/>
        </w:rPr>
        <w:t xml:space="preserve">fontsize</w:t>
      </w:r>
      <w:r>
        <w:t xml:space="preserve">, que aparecen repetidamente a lo largo del código, controlan el tamaño del texto en varios elementos del gráfico.</w:t>
      </w:r>
    </w:p>
    <w:p>
      <w:pPr>
        <w:pStyle w:val="BodyText"/>
      </w:pPr>
      <w:r>
        <w:t xml:space="preserve">Los métodos</w:t>
      </w:r>
      <w:r>
        <w:t xml:space="preserve"> </w:t>
      </w:r>
      <w:r>
        <w:rPr>
          <w:rStyle w:val="VerbatimChar"/>
        </w:rPr>
        <w:t xml:space="preserve">set_xlabel()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set_ylabel()</w:t>
      </w:r>
      <w:r>
        <w:t xml:space="preserve"> </w:t>
      </w:r>
      <w:r>
        <w:t xml:space="preserve">te permiten establecer un título para cada uno de los ejes</w:t>
      </w:r>
      <w:r>
        <w:t xml:space="preserve"> </w:t>
      </w:r>
      <w:r>
        <w:t xml:space="preserve">❸,</w:t>
      </w:r>
      <w:r>
        <w:t xml:space="preserve"> </w:t>
      </w:r>
      <w:r>
        <w:t xml:space="preserve">y el método</w:t>
      </w:r>
      <w:r>
        <w:t xml:space="preserve"> </w:t>
      </w:r>
      <w:r>
        <w:rPr>
          <w:rStyle w:val="VerbatimChar"/>
        </w:rPr>
        <w:t xml:space="preserve">tick_params()</w:t>
      </w:r>
      <w:r>
        <w:t xml:space="preserve"> </w:t>
      </w:r>
      <w:r>
        <w:t xml:space="preserve">da estilo a las marcas de graduación</w:t>
      </w:r>
      <w:r>
        <w:t xml:space="preserve"> </w:t>
      </w:r>
      <w:r>
        <w:t xml:space="preserve">❹.</w:t>
      </w:r>
      <w:r>
        <w:t xml:space="preserve"> </w:t>
      </w:r>
      <w:r>
        <w:t xml:space="preserve">Aquí</w:t>
      </w:r>
      <w:r>
        <w:t xml:space="preserve"> </w:t>
      </w:r>
      <w:r>
        <w:rPr>
          <w:rStyle w:val="VerbatimChar"/>
        </w:rPr>
        <w:t xml:space="preserve">tick_params()</w:t>
      </w:r>
      <w:r>
        <w:t xml:space="preserve"> </w:t>
      </w:r>
      <w:r>
        <w:t xml:space="preserve">establece el tamaño de fuente de las etiquetas de las marcas de graduación en 14 en ambos ejes.</w:t>
      </w:r>
    </w:p>
    <w:p>
      <w:pPr>
        <w:pStyle w:val="BodyText"/>
      </w:pPr>
      <w:r>
        <w:t xml:space="preserve">Como puedes ver en</w:t>
      </w:r>
      <w:r>
        <w:t xml:space="preserve"> </w:t>
      </w:r>
      <w:hyperlink w:anchor="figure15-2">
        <w:r>
          <w:rPr>
            <w:rStyle w:val="Hyperlink"/>
          </w:rPr>
          <w:t xml:space="preserve">la Figura 15-2</w:t>
        </w:r>
      </w:hyperlink>
      <w:r>
        <w:t xml:space="preserve">, el gráfico resultante es mucho más fácil de leer. El tipo de etiqueta es más grande, y el gráfico de líneas es más grueso. A menudo merece la pena experimentar con estos valores para ver qué funciona mejor en el gráfico resultante.</w:t>
      </w:r>
    </w:p>
    <w:p>
      <w:pPr>
        <w:pStyle w:val="CaptionedFigure"/>
      </w:pPr>
      <w:r>
        <w:drawing>
          <wp:inline>
            <wp:extent cx="5334000" cy="317669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50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5-2"/>
      <w:r>
        <w:t xml:space="preserve">Figura 15-2</w:t>
      </w:r>
      <w:bookmarkEnd w:id="24"/>
      <w:r>
        <w:t xml:space="preserve">: Ahora el gráfico es mucho más fácil de leer.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4 de 35: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5.html" TargetMode="External" /><Relationship Type="http://schemas.openxmlformats.org/officeDocument/2006/relationships/hyperlink" Id="rId25" Target="c15_3.html" TargetMode="External" /><Relationship Type="http://schemas.openxmlformats.org/officeDocument/2006/relationships/hyperlink" Id="rId28" Target="c15_4.docx" TargetMode="External" /><Relationship Type="http://schemas.openxmlformats.org/officeDocument/2006/relationships/hyperlink" Id="rId27" Target="c15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5.html" TargetMode="External" /><Relationship Type="http://schemas.openxmlformats.org/officeDocument/2006/relationships/hyperlink" Id="rId25" Target="c15_3.html" TargetMode="External" /><Relationship Type="http://schemas.openxmlformats.org/officeDocument/2006/relationships/hyperlink" Id="rId28" Target="c15_4.docx" TargetMode="External" /><Relationship Type="http://schemas.openxmlformats.org/officeDocument/2006/relationships/hyperlink" Id="rId27" Target="c15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2024-02-28T00:04:39Z</dcterms:created>
  <dcterms:modified xsi:type="dcterms:W3CDTF">2024-02-28T00:04:39Z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