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5-0002"/>
    <w:p>
      <w:pPr>
        <w:pStyle w:val="Heading3"/>
      </w:pPr>
      <w:bookmarkStart w:id="20" w:name="Page_305"/>
      <w:bookmarkEnd w:id="20"/>
      <w:r>
        <w:t xml:space="preserve">Corregir el gráfico</w:t>
      </w:r>
    </w:p>
    <w:p>
      <w:pPr>
        <w:pStyle w:val="FirstParagraph"/>
      </w:pPr>
      <w:r>
        <w:t xml:space="preserve">Ahora que podemos leer mejor el gráfico, podemos ver que los datos no están trazados correctamente. Observa que al final del gráfico el cuadrado de 4,0 aparece como ¡25! Vamos a corregirlo.</w:t>
      </w:r>
    </w:p>
    <w:p>
      <w:pPr>
        <w:pStyle w:val="BodyText"/>
      </w:pPr>
      <w:r>
        <w:t xml:space="preserve">Cuando das a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una única secuencia de números, asume que el primer punto de datos corresponde a un valor</w:t>
      </w:r>
      <w:r>
        <w:t xml:space="preserve"> </w:t>
      </w:r>
      <w:r>
        <w:rPr>
          <w:i/>
          <w:iCs/>
        </w:rPr>
        <w:t xml:space="preserve">x</w:t>
      </w:r>
      <w:r>
        <w:t xml:space="preserve">-de 0, pero nuestro primer punto corresponde a un valor</w:t>
      </w:r>
      <w:r>
        <w:t xml:space="preserve"> </w:t>
      </w:r>
      <w:r>
        <w:rPr>
          <w:i/>
          <w:iCs/>
        </w:rPr>
        <w:t xml:space="preserve">x</w:t>
      </w:r>
      <w:r>
        <w:t xml:space="preserve">-de 1. Podemos anular el comportamiento por defecto dando a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tanto los valores de entrada como los de salida utilizados para calcular los cuadrados:</w:t>
      </w:r>
    </w:p>
    <w:p>
      <w:pPr>
        <w:pStyle w:val="BodyText"/>
      </w:pPr>
      <w:r>
        <w:rPr>
          <w:b/>
          <w:bCs/>
        </w:rPr>
        <w:t xml:space="preserve">mpl_squares.py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input_values = [1, 2, 3, 4, 5]</w:t>
      </w:r>
      <w:r>
        <w:br/>
      </w:r>
      <w:r>
        <w:rPr>
          <w:rStyle w:val="VerbatimChar"/>
        </w:rPr>
        <w:t xml:space="preserve">squares = [1, 4, 9, 16, 25]</w:t>
      </w:r>
      <w:r>
        <w:br/>
      </w:r>
      <w:r>
        <w:br/>
      </w:r>
      <w:r>
        <w:rPr>
          <w:rStyle w:val="VerbatimChar"/>
        </w:rPr>
        <w:t xml:space="preserve">fig, ax = plt.subplots()</w:t>
      </w:r>
      <w:r>
        <w:br/>
      </w:r>
      <w:r>
        <w:rPr>
          <w:rStyle w:val="VerbatimChar"/>
        </w:rPr>
        <w:t xml:space="preserve">ax.plot(input_values, squares, linewidth=3)</w:t>
      </w:r>
      <w:r>
        <w:br/>
      </w:r>
      <w:r>
        <w:br/>
      </w:r>
      <w:r>
        <w:rPr>
          <w:rStyle w:val="VerbatimChar"/>
        </w:rPr>
        <w:t xml:space="preserve"># Set chart title and label axes.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Ahora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no tiene que hacer ninguna suposición sobre cómo se generaron los números de salida. El gráfico resultante, que se muestra en</w:t>
      </w:r>
      <w:r>
        <w:t xml:space="preserve"> </w:t>
      </w:r>
      <w:hyperlink w:anchor="figure15-3">
        <w:r>
          <w:rPr>
            <w:rStyle w:val="Hyperlink"/>
          </w:rPr>
          <w:t xml:space="preserve">la Figura 15-3</w:t>
        </w:r>
      </w:hyperlink>
      <w:r>
        <w:t xml:space="preserve">, es correcto.</w:t>
      </w:r>
    </w:p>
    <w:p>
      <w:pPr>
        <w:pStyle w:val="CaptionedFigure"/>
      </w:pPr>
      <w:r>
        <w:drawing>
          <wp:inline>
            <wp:extent cx="5334000" cy="317426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500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ure15-3"/>
      <w:r>
        <w:t xml:space="preserve">Figura 15-3</w:t>
      </w:r>
      <w:bookmarkEnd w:id="24"/>
      <w:r>
        <w:t xml:space="preserve">: Ahora los datos se representan correctamente.</w:t>
      </w:r>
    </w:p>
    <w:p>
      <w:pPr>
        <w:pStyle w:val="BodyText"/>
      </w:pPr>
      <w:r>
        <w:t xml:space="preserve">Puedes especificar una serie de argumentos al llamar a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y utilizar una serie de métodos para personalizar tus gráficos después de generarlos. Seguiremos explorando estos métodos de personalización a medida que trabajemos con conjuntos de datos más interesantes a lo largo de este capítulo.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5 de 35: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5.html" TargetMode="External" /><Relationship Type="http://schemas.openxmlformats.org/officeDocument/2006/relationships/hyperlink" Id="rId25" Target="c15_4.html" TargetMode="External" /><Relationship Type="http://schemas.openxmlformats.org/officeDocument/2006/relationships/hyperlink" Id="rId28" Target="c15_5.docx" TargetMode="External" /><Relationship Type="http://schemas.openxmlformats.org/officeDocument/2006/relationships/hyperlink" Id="rId27" Target="c15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5.html" TargetMode="External" /><Relationship Type="http://schemas.openxmlformats.org/officeDocument/2006/relationships/hyperlink" Id="rId25" Target="c15_4.html" TargetMode="External" /><Relationship Type="http://schemas.openxmlformats.org/officeDocument/2006/relationships/hyperlink" Id="rId28" Target="c15_5.docx" TargetMode="External" /><Relationship Type="http://schemas.openxmlformats.org/officeDocument/2006/relationships/hyperlink" Id="rId27" Target="c15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2024-02-28T00:04:40Z</dcterms:created>
  <dcterms:modified xsi:type="dcterms:W3CDTF">2024-02-28T00:04:40Z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