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2-502703c15-0006"/>
    <w:p>
      <w:pPr>
        <w:pStyle w:val="Heading3"/>
      </w:pPr>
      <w:r>
        <w:t xml:space="preserve">Calcular datos automáticamente</w:t>
      </w:r>
    </w:p>
    <w:p>
      <w:pPr>
        <w:pStyle w:val="FirstParagraph"/>
      </w:pPr>
      <w:r>
        <w:t xml:space="preserve">Escribir listas a mano puede resultar ineficaz, sobre todo cuando tenemos muchos puntos. En lugar de escribir cada valor, utilicemos un bucle que haga los cálculos por nosotros.</w:t>
      </w:r>
    </w:p>
    <w:p>
      <w:pPr>
        <w:pStyle w:val="BodyText"/>
      </w:pPr>
      <w:r>
        <w:t xml:space="preserve">Así se vería esto con 1.000 puntos:</w:t>
      </w:r>
    </w:p>
    <w:p>
      <w:pPr>
        <w:pStyle w:val="BodyText"/>
      </w:pPr>
      <w:r>
        <w:rPr>
          <w:b/>
          <w:bCs/>
        </w:rPr>
        <w:t xml:space="preserve">scatter_squares.py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❶ x_values = range(1, 1001)</w:t>
      </w:r>
      <w:r>
        <w:br/>
      </w:r>
      <w:r>
        <w:rPr>
          <w:rStyle w:val="VerbatimChar"/>
        </w:rPr>
        <w:t xml:space="preserve">y_values = [x**2 for x in x_values]</w:t>
      </w:r>
      <w:r>
        <w:br/>
      </w:r>
      <w:r>
        <w:br/>
      </w:r>
      <w:r>
        <w:rPr>
          <w:rStyle w:val="VerbatimChar"/>
        </w:rPr>
        <w:t xml:space="preserve">plt.style.use('seaborn')</w:t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❷ ax.scatter(x_values, y_values, s=10)</w:t>
      </w:r>
      <w:r>
        <w:br/>
      </w:r>
      <w:r>
        <w:br/>
      </w:r>
      <w:r>
        <w:rPr>
          <w:rStyle w:val="VerbatimChar"/>
        </w:rPr>
        <w:t xml:space="preserve"># Set chart title and label axes.</w:t>
      </w:r>
      <w:r>
        <w:br/>
      </w:r>
      <w:r>
        <w:rPr>
          <w:rStyle w:val="VerbatimChar"/>
        </w:rPr>
        <w:t xml:space="preserve">--snip--</w:t>
      </w:r>
      <w:r>
        <w:br/>
      </w:r>
      <w:r>
        <w:br/>
      </w:r>
      <w:r>
        <w:rPr>
          <w:rStyle w:val="VerbatimChar"/>
        </w:rPr>
        <w:t xml:space="preserve"># Set the range for each axis.</w:t>
      </w:r>
      <w:r>
        <w:br/>
      </w:r>
      <w:r>
        <w:rPr>
          <w:rStyle w:val="VerbatimChar"/>
        </w:rPr>
        <w:t xml:space="preserve">❸ ax.axis([0, 1100, 0, 1_100_000])</w:t>
      </w:r>
      <w:r>
        <w:br/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t xml:space="preserve">Empezamos con un rango de</w:t>
      </w:r>
      <w:r>
        <w:t xml:space="preserve"> </w:t>
      </w:r>
      <w:r>
        <w:rPr>
          <w:i/>
          <w:iCs/>
        </w:rPr>
        <w:t xml:space="preserve">x</w:t>
      </w:r>
      <w:r>
        <w:t xml:space="preserve">-valores que contienen los números del 1 al 1.000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una comprensión de listas genera los</w:t>
      </w:r>
      <w:r>
        <w:t xml:space="preserve"> </w:t>
      </w:r>
      <w:r>
        <w:rPr>
          <w:i/>
          <w:iCs/>
        </w:rPr>
        <w:t xml:space="preserve">y</w:t>
      </w:r>
      <w:r>
        <w:t xml:space="preserve">-valores recorriendo en bucle los</w:t>
      </w:r>
      <w:r>
        <w:t xml:space="preserve"> </w:t>
      </w:r>
      <w:r>
        <w:rPr>
          <w:i/>
          <w:iCs/>
        </w:rPr>
        <w:t xml:space="preserve">x</w:t>
      </w:r>
      <w:r>
        <w:t xml:space="preserve">-valores (</w:t>
      </w:r>
      <w:r>
        <w:rPr>
          <w:rStyle w:val="VerbatimChar"/>
        </w:rPr>
        <w:t xml:space="preserve">for x in x_values</w:t>
      </w:r>
      <w:r>
        <w:t xml:space="preserve">), elevando al cuadrado cada número (</w:t>
      </w:r>
      <w:r>
        <w:rPr>
          <w:rStyle w:val="VerbatimChar"/>
        </w:rPr>
        <w:t xml:space="preserve">x**2</w:t>
      </w:r>
      <w:r>
        <w:t xml:space="preserve">) y asignando los resultados a</w:t>
      </w:r>
      <w:r>
        <w:t xml:space="preserve"> </w:t>
      </w:r>
      <w:r>
        <w:rPr>
          <w:rStyle w:val="VerbatimChar"/>
        </w:rPr>
        <w:t xml:space="preserve">y_values</w:t>
      </w:r>
      <w:r>
        <w:t xml:space="preserve">. Luego pasamos las listas de entrada y salida a</w:t>
      </w:r>
      <w:r>
        <w:t xml:space="preserve"> </w:t>
      </w:r>
      <w:r>
        <w:rPr>
          <w:rStyle w:val="VerbatimChar"/>
        </w:rPr>
        <w:t xml:space="preserve">scatter()</w:t>
      </w:r>
      <w:r>
        <w:t xml:space="preserve"> </w:t>
      </w:r>
      <w:r>
        <w:t xml:space="preserve">❷.</w:t>
      </w:r>
      <w:r>
        <w:t xml:space="preserve"> </w:t>
      </w:r>
      <w:r>
        <w:t xml:space="preserve">Como se trata de un conjunto de datos grande, utilizamos un tamaño de punto más pequeño.</w:t>
      </w:r>
    </w:p>
    <w:p>
      <w:pPr>
        <w:pStyle w:val="BodyText"/>
      </w:pPr>
      <w:r>
        <w:t xml:space="preserve">Antes de mostrar el gráfico, utilizamos el método</w:t>
      </w:r>
      <w:r>
        <w:t xml:space="preserve"> </w:t>
      </w:r>
      <w:r>
        <w:rPr>
          <w:rStyle w:val="VerbatimChar"/>
        </w:rPr>
        <w:t xml:space="preserve">axis()</w:t>
      </w:r>
      <w:r>
        <w:t xml:space="preserve"> </w:t>
      </w:r>
      <w:r>
        <w:t xml:space="preserve">para especificar el rango de cada eje</w:t>
      </w:r>
      <w:r>
        <w:t xml:space="preserve"> </w:t>
      </w:r>
      <w:r>
        <w:t xml:space="preserve">❸.</w:t>
      </w:r>
      <w:r>
        <w:t xml:space="preserve"> </w:t>
      </w:r>
      <w:r>
        <w:t xml:space="preserve">El método</w:t>
      </w:r>
      <w:r>
        <w:t xml:space="preserve"> </w:t>
      </w:r>
      <w:r>
        <w:rPr>
          <w:rStyle w:val="VerbatimChar"/>
        </w:rPr>
        <w:t xml:space="preserve">axis()</w:t>
      </w:r>
      <w:r>
        <w:t xml:space="preserve"> </w:t>
      </w:r>
      <w:r>
        <w:t xml:space="preserve">requiere cuatro valores: los valores mínimo y máximo del eje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y del eje</w:t>
      </w:r>
      <w:r>
        <w:t xml:space="preserve"> </w:t>
      </w:r>
      <w:r>
        <w:rPr>
          <w:i/>
          <w:iCs/>
        </w:rPr>
        <w:t xml:space="preserve">y</w:t>
      </w:r>
      <w:r>
        <w:t xml:space="preserve">. Aquí, ejecutamos el eje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de 0 a 1.100 y el eje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de 0 a 1.100.000.</w:t>
      </w:r>
      <w:r>
        <w:t xml:space="preserve"> </w:t>
      </w:r>
      <w:hyperlink w:anchor="figure15-7">
        <w:r>
          <w:rPr>
            <w:rStyle w:val="Hyperlink"/>
          </w:rPr>
          <w:t xml:space="preserve">La Figura 15-7</w:t>
        </w:r>
      </w:hyperlink>
      <w:r>
        <w:t xml:space="preserve"> </w:t>
      </w:r>
      <w:r>
        <w:t xml:space="preserve">muestra el resultado.</w:t>
      </w:r>
    </w:p>
    <w:p>
      <w:pPr>
        <w:pStyle w:val="CaptionedFigure"/>
      </w:pPr>
      <w:r>
        <w:drawing>
          <wp:inline>
            <wp:extent cx="5334000" cy="317426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f1500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ure15-7"/>
      <w:r>
        <w:t xml:space="preserve">Figura 15-7</w:t>
      </w:r>
      <w:bookmarkEnd w:id="23"/>
      <w:r>
        <w:t xml:space="preserve">: Python puede trazar 1.000 puntos tan fácilmente como traza 5 puntos.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9 de 35: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c15.html" TargetMode="External" /><Relationship Type="http://schemas.openxmlformats.org/officeDocument/2006/relationships/hyperlink" Id="rId26" Target="c15_10.html" TargetMode="External" /><Relationship Type="http://schemas.openxmlformats.org/officeDocument/2006/relationships/hyperlink" Id="rId24" Target="c15_8.html" TargetMode="External" /><Relationship Type="http://schemas.openxmlformats.org/officeDocument/2006/relationships/hyperlink" Id="rId27" Target="c15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5.html" TargetMode="External" /><Relationship Type="http://schemas.openxmlformats.org/officeDocument/2006/relationships/hyperlink" Id="rId26" Target="c15_10.html" TargetMode="External" /><Relationship Type="http://schemas.openxmlformats.org/officeDocument/2006/relationships/hyperlink" Id="rId24" Target="c15_8.html" TargetMode="External" /><Relationship Type="http://schemas.openxmlformats.org/officeDocument/2006/relationships/hyperlink" Id="rId27" Target="c15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2024-02-28T00:04:41Z</dcterms:created>
  <dcterms:modified xsi:type="dcterms:W3CDTF">2024-02-28T00:04:41Z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