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2-502703c16-0009"/>
    <w:p>
      <w:pPr>
        <w:pStyle w:val="Heading3"/>
      </w:pPr>
      <w:r>
        <w:t xml:space="preserve">Sombrear un área del gráfico</w:t>
      </w:r>
    </w:p>
    <w:p>
      <w:pPr>
        <w:pStyle w:val="FirstParagraph"/>
      </w:pPr>
      <w:r>
        <w:t xml:space="preserve">Habiendo añadido dos series de datos, ahora podemos examinar el rango de temperaturas de cada día. Vamos a dar un toque final al gráfico utilizando el sombreado para mostrar el rango entre las temperaturas máximas y mínimas de cada día. Para ello, utilizaremos el método</w:t>
      </w:r>
      <w:r>
        <w:t xml:space="preserve"> </w:t>
      </w:r>
      <w:r>
        <w:rPr>
          <w:rStyle w:val="VerbatimChar"/>
        </w:rPr>
        <w:t xml:space="preserve">fill_between()</w:t>
      </w:r>
      <w:r>
        <w:t xml:space="preserve">, que toma una serie de valores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y dos series de valores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y rellena el espacio entre las dos series de valores</w:t>
      </w:r>
      <w:r>
        <w:t xml:space="preserve"> </w:t>
      </w:r>
      <w:r>
        <w:rPr>
          <w:i/>
          <w:iCs/>
        </w:rPr>
        <w:t xml:space="preserve">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sitka_highs_lows.py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# Plot the high and low temperatures.</w:t>
      </w:r>
      <w:r>
        <w:br/>
      </w:r>
      <w:r>
        <w:rPr>
          <w:rStyle w:val="VerbatimChar"/>
        </w:rPr>
        <w:t xml:space="preserve">plt.style.use('seaborn')</w:t>
      </w:r>
      <w:r>
        <w:br/>
      </w:r>
      <w:r>
        <w:rPr>
          <w:rStyle w:val="VerbatimChar"/>
        </w:rPr>
        <w:t xml:space="preserve">fig, ax = plt.subplots()</w:t>
      </w:r>
      <w:r>
        <w:br/>
      </w:r>
      <w:r>
        <w:rPr>
          <w:rStyle w:val="VerbatimChar"/>
        </w:rPr>
        <w:t xml:space="preserve">❶ ax.plot(dates, highs, color='red', alpha=0.5)</w:t>
      </w:r>
      <w:r>
        <w:br/>
      </w:r>
      <w:r>
        <w:rPr>
          <w:rStyle w:val="VerbatimChar"/>
        </w:rPr>
        <w:t xml:space="preserve">ax.plot(dates, lows, color='blue', alpha=0.5)</w:t>
      </w:r>
      <w:r>
        <w:br/>
      </w:r>
      <w:r>
        <w:rPr>
          <w:rStyle w:val="VerbatimChar"/>
        </w:rPr>
        <w:t xml:space="preserve">❷ ax.fill_between(dates, highs, lows, facecolor='blue', alpha=0.1)</w:t>
      </w:r>
      <w:r>
        <w:br/>
      </w:r>
      <w:r>
        <w:rPr>
          <w:rStyle w:val="VerbatimChar"/>
        </w:rPr>
        <w:t xml:space="preserve">--snip--</w:t>
      </w:r>
    </w:p>
    <w:p>
      <w:pPr>
        <w:pStyle w:val="FirstParagraph"/>
      </w:pPr>
      <w:r>
        <w:t xml:space="preserve">El argumento</w:t>
      </w:r>
      <w:r>
        <w:t xml:space="preserve"> </w:t>
      </w:r>
      <w:r>
        <w:rPr>
          <w:rStyle w:val="VerbatimChar"/>
        </w:rPr>
        <w:t xml:space="preserve">alpha</w:t>
      </w:r>
      <w:r>
        <w:t xml:space="preserve"> </w:t>
      </w:r>
      <w:r>
        <w:t xml:space="preserve">controla la transparencia ❶ de un color</w:t>
      </w:r>
      <w:r>
        <w:t xml:space="preserve"> </w:t>
      </w:r>
      <w:r>
        <w:t xml:space="preserve">.</w:t>
      </w:r>
      <w:r>
        <w:t xml:space="preserve"> </w:t>
      </w:r>
      <w:r>
        <w:t xml:space="preserve">Un valor</w:t>
      </w:r>
      <w:r>
        <w:t xml:space="preserve"> </w:t>
      </w:r>
      <w:r>
        <w:rPr>
          <w:rStyle w:val="VerbatimChar"/>
        </w:rPr>
        <w:t xml:space="preserve">alpha</w:t>
      </w:r>
      <w:r>
        <w:t xml:space="preserve"> </w:t>
      </w:r>
      <w:r>
        <w:t xml:space="preserve">de 0 es completamente transparente, y un valor de 1 (por defecto) es completamente opaco. Ajustando</w:t>
      </w:r>
      <w:r>
        <w:t xml:space="preserve"> </w:t>
      </w:r>
      <w:r>
        <w:rPr>
          <w:rStyle w:val="VerbatimChar"/>
        </w:rPr>
        <w:t xml:space="preserve">alpha</w:t>
      </w:r>
      <w:r>
        <w:t xml:space="preserve"> </w:t>
      </w:r>
      <w:r>
        <w:t xml:space="preserve">a 0,5, hacemos que las líneas de trazado rojas y azules parezcan más claras.</w:t>
      </w:r>
    </w:p>
    <w:p>
      <w:pPr>
        <w:pStyle w:val="BodyText"/>
      </w:pPr>
      <w:r>
        <w:t xml:space="preserve">Pasamos a</w:t>
      </w:r>
      <w:r>
        <w:t xml:space="preserve"> </w:t>
      </w:r>
      <w:r>
        <w:rPr>
          <w:rStyle w:val="VerbatimChar"/>
        </w:rPr>
        <w:t xml:space="preserve">fill_between()</w:t>
      </w:r>
      <w:r>
        <w:t xml:space="preserve"> </w:t>
      </w:r>
      <w:r>
        <w:t xml:space="preserve">la lista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para los</w:t>
      </w:r>
      <w:r>
        <w:t xml:space="preserve"> </w:t>
      </w:r>
      <w:r>
        <w:rPr>
          <w:i/>
          <w:iCs/>
        </w:rPr>
        <w:t xml:space="preserve">x</w:t>
      </w:r>
      <w:r>
        <w:t xml:space="preserve">-valores y, a continuación, las dos series</w:t>
      </w:r>
      <w:r>
        <w:t xml:space="preserve"> </w:t>
      </w:r>
      <w:r>
        <w:rPr>
          <w:i/>
          <w:iCs/>
        </w:rPr>
        <w:t xml:space="preserve">y</w:t>
      </w:r>
      <w:r>
        <w:t xml:space="preserve">-valores</w:t>
      </w:r>
      <w:r>
        <w:t xml:space="preserve"> </w:t>
      </w:r>
      <w:r>
        <w:rPr>
          <w:rStyle w:val="VerbatimChar"/>
        </w:rPr>
        <w:t xml:space="preserve">highs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lows</w:t>
      </w:r>
      <w:r>
        <w:t xml:space="preserve"> </w:t>
      </w:r>
      <w:r>
        <w:t xml:space="preserve">❷.</w:t>
      </w:r>
      <w:r>
        <w:t xml:space="preserve"> </w:t>
      </w:r>
      <w:r>
        <w:t xml:space="preserve">El argumento</w:t>
      </w:r>
      <w:r>
        <w:t xml:space="preserve"> </w:t>
      </w:r>
      <w:r>
        <w:rPr>
          <w:rStyle w:val="VerbatimChar"/>
        </w:rPr>
        <w:t xml:space="preserve">facecolor</w:t>
      </w:r>
      <w:r>
        <w:t xml:space="preserve"> </w:t>
      </w:r>
      <w:r>
        <w:t xml:space="preserve">determina el color de la región sombreada; le damos un valor</w:t>
      </w:r>
      <w:r>
        <w:t xml:space="preserve"> </w:t>
      </w:r>
      <w:r>
        <w:rPr>
          <w:rStyle w:val="VerbatimChar"/>
        </w:rPr>
        <w:t xml:space="preserve">alpha</w:t>
      </w:r>
      <w:r>
        <w:t xml:space="preserve"> </w:t>
      </w:r>
      <w:r>
        <w:t xml:space="preserve">bajo de 0,1 para que la región rellena conecte las dos series de datos sin distraer de la información que representan.</w:t>
      </w:r>
      <w:r>
        <w:t xml:space="preserve"> </w:t>
      </w:r>
      <w:hyperlink w:anchor="figure16-5">
        <w:r>
          <w:rPr>
            <w:rStyle w:val="Hyperlink"/>
          </w:rPr>
          <w:t xml:space="preserve">La Figura 16-5</w:t>
        </w:r>
      </w:hyperlink>
      <w:r>
        <w:t xml:space="preserve"> </w:t>
      </w:r>
      <w:r>
        <w:t xml:space="preserve">muestra el gráfico con la región sombreada entre los máximos y los mínimos.</w:t>
      </w:r>
    </w:p>
    <w:p>
      <w:pPr>
        <w:pStyle w:val="CaptionedFigure"/>
      </w:pPr>
      <w:r>
        <w:drawing>
          <wp:inline>
            <wp:extent cx="5334000" cy="285691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f1600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ure16-5"/>
      <w:r>
        <w:t xml:space="preserve">Figura 16-5</w:t>
      </w:r>
      <w:bookmarkEnd w:id="23"/>
      <w:r>
        <w:t xml:space="preserve">: La región entre las dos series de datos está sombreada.</w:t>
      </w:r>
    </w:p>
    <w:p>
      <w:pPr>
        <w:pStyle w:val="BodyText"/>
      </w:pPr>
      <w:r>
        <w:t xml:space="preserve">El sombreado ayuda a que el rango entre los dos conjuntos de datos sea inmediatamente aparente.</w:t>
      </w:r>
    </w:p>
    <w:p>
      <w:pPr>
        <w:pStyle w:val="BodyText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12 de 29: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c16.html" TargetMode="External" /><Relationship Type="http://schemas.openxmlformats.org/officeDocument/2006/relationships/hyperlink" Id="rId24" Target="c16_11.html" TargetMode="External" /><Relationship Type="http://schemas.openxmlformats.org/officeDocument/2006/relationships/hyperlink" Id="rId27" Target="c16_12.docx" TargetMode="External" /><Relationship Type="http://schemas.openxmlformats.org/officeDocument/2006/relationships/hyperlink" Id="rId26" Target="c16_1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16.html" TargetMode="External" /><Relationship Type="http://schemas.openxmlformats.org/officeDocument/2006/relationships/hyperlink" Id="rId24" Target="c16_11.html" TargetMode="External" /><Relationship Type="http://schemas.openxmlformats.org/officeDocument/2006/relationships/hyperlink" Id="rId27" Target="c16_12.docx" TargetMode="External" /><Relationship Type="http://schemas.openxmlformats.org/officeDocument/2006/relationships/hyperlink" Id="rId26" Target="c16_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2024-02-28T00:04:44Z</dcterms:created>
  <dcterms:modified xsi:type="dcterms:W3CDTF">2024-02-28T00:04:44Z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