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Falsy</w:t>
      </w:r>
      <w:r>
        <w:t xml:space="preserve"> </w:t>
      </w:r>
      <w:r>
        <w:t xml:space="preserve">Values</w:t>
      </w:r>
    </w:p>
    <w:bookmarkStart w:id="21" w:name="valores-falsos"/>
    <w:p>
      <w:pPr>
        <w:pStyle w:val="Heading1"/>
      </w:pPr>
      <w:bookmarkStart w:id="20" w:name="falsy_values"/>
      <w:bookmarkEnd w:id="20"/>
      <w:r>
        <w:t xml:space="preserve">Valores falsos</w:t>
      </w:r>
    </w:p>
    <w:bookmarkEnd w:id="21"/>
    <w:p>
      <w:pPr>
        <w:pStyle w:val="FirstParagraph"/>
      </w:pPr>
      <w:r>
        <w:t xml:space="preserve">JavaScript tiene un conjunto sorprendentemente amplio de valores falsos, que se muestran en la</w:t>
      </w:r>
      <w:r>
        <w:t xml:space="preserve"> </w:t>
      </w:r>
      <w:hyperlink r:id="rId22">
        <w:r>
          <w:rPr>
            <w:rStyle w:val="Hyperlink"/>
          </w:rPr>
          <w:t xml:space="preserve">Tabla A-1</w:t>
        </w:r>
      </w:hyperlink>
      <w:r>
        <w:t xml:space="preserve">.</w:t>
      </w:r>
      <w:bookmarkStart w:id="23" w:name="IDX-APP-A-0525"/>
      <w:bookmarkEnd w:id="23"/>
      <w:bookmarkStart w:id="24" w:name="IDX-APP-A-0526"/>
      <w:bookmarkEnd w:id="24"/>
      <w:bookmarkStart w:id="25" w:name="IDX-APP-A-0527"/>
      <w:bookmarkEnd w:id="25"/>
      <w:bookmarkStart w:id="26" w:name="IDX-APP-A-0528"/>
      <w:bookmarkEnd w:id="26"/>
      <w:bookmarkStart w:id="27" w:name="IDX-APP-A-0529"/>
      <w:bookmarkEnd w:id="27"/>
    </w:p>
    <w:p>
      <w:pPr>
        <w:pStyle w:val="BodyText"/>
      </w:pPr>
      <w:bookmarkStart w:id="28" w:name="the_many_falsy_values_of_javascript"/>
      <w:bookmarkEnd w:id="28"/>
    </w:p>
    <w:p>
      <w:pPr>
        <w:pStyle w:val="BodyText"/>
      </w:pPr>
      <w:r>
        <w:t xml:space="preserve">Tabla A-1. Los numerosos valores falsos de JavaScript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Valor</w:t>
            </w:r>
          </w:p>
        </w:tc>
        <w:tc>
          <w:tcPr/>
          <w:p>
            <w:pPr>
              <w:jc w:val="left"/>
            </w:pPr>
            <w:r>
              <w:t xml:space="preserve">Tipo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jc w:val="left"/>
            </w:pPr>
            <w:r>
              <w:t xml:space="preserve">Número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NaN</w:t>
            </w:r>
            <w:r>
              <w:t xml:space="preserve"> </w:t>
            </w:r>
            <w:r>
              <w:t xml:space="preserve">(no es un número)</w:t>
            </w:r>
          </w:p>
        </w:tc>
        <w:tc>
          <w:tcPr/>
          <w:p>
            <w:pPr>
              <w:jc w:val="left"/>
            </w:pPr>
            <w:r>
              <w:t xml:space="preserve">Número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''</w:t>
            </w:r>
            <w:r>
              <w:t xml:space="preserve"> </w:t>
            </w:r>
            <w:r>
              <w:t xml:space="preserve">(cadena vacía)</w:t>
            </w:r>
          </w:p>
        </w:tc>
        <w:tc>
          <w:tcPr/>
          <w:p>
            <w:pPr>
              <w:jc w:val="left"/>
            </w:pPr>
            <w:r>
              <w:t xml:space="preserve">Cadena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tcPr/>
          <w:p>
            <w:pPr>
              <w:jc w:val="left"/>
            </w:pPr>
            <w:r>
              <w:t xml:space="preserve">Booleano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bookmarkStart w:id="29" w:name="IDX-APP-A-0530"/>
            <w:bookmarkEnd w:id="29"/>
          </w:p>
        </w:tc>
        <w:tc>
          <w:tcPr/>
          <w:p>
            <w:pPr>
              <w:jc w:val="left"/>
            </w:pPr>
            <w:r>
              <w:t xml:space="preserve">Objeto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undefined</w:t>
            </w:r>
            <w:r>
              <w:t xml:space="preserve"> </w:t>
            </w:r>
            <w:bookmarkStart w:id="30" w:name="IDX-APP-A-0531"/>
            <w:bookmarkEnd w:id="30"/>
          </w:p>
        </w:tc>
        <w:tc>
          <w:tcPr/>
          <w:p>
            <w:pPr>
              <w:jc w:val="left"/>
            </w:pPr>
            <w:r>
              <w:t xml:space="preserve">Indefinido</w:t>
            </w:r>
          </w:p>
        </w:tc>
      </w:tr>
    </w:tbl>
    <w:p>
      <w:pPr>
        <w:pStyle w:val="BodyText"/>
      </w:pPr>
      <w:r>
        <w:t xml:space="preserve">Todos estos valores son falsos, pero no son intercambiables. Por ejemplo, ésta es la forma incorrecta de determinar si a un objeto le falta un miembro:</w:t>
      </w:r>
    </w:p>
    <w:p>
      <w:pPr>
        <w:pStyle w:val="BodyText"/>
      </w:pPr>
      <w:bookmarkStart w:id="31" w:name="I_programlisting_d1e8662"/>
      <w:bookmarkEnd w:id="31"/>
    </w:p>
    <w:p>
      <w:pPr>
        <w:pStyle w:val="SourceCode"/>
      </w:pPr>
      <w:r>
        <w:rPr>
          <w:rStyle w:val="VerbatimChar"/>
        </w:rPr>
        <w:t xml:space="preserve">value = myObject[name];</w:t>
      </w:r>
      <w:r>
        <w:br/>
      </w:r>
      <w:r>
        <w:rPr>
          <w:rStyle w:val="VerbatimChar"/>
        </w:rPr>
        <w:t xml:space="preserve">if (value == null) {</w:t>
      </w:r>
      <w:r>
        <w:br/>
      </w:r>
      <w:r>
        <w:rPr>
          <w:rStyle w:val="VerbatimChar"/>
        </w:rPr>
        <w:t xml:space="preserve">   alert(name + ' not found.');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undefined</w:t>
      </w:r>
      <w:r>
        <w:t xml:space="preserve"> </w:t>
      </w:r>
      <w:r>
        <w:t xml:space="preserve">es el valor de los miembros que faltan, pero el fragmento está comprobando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 Está utilizando el operador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(véase</w:t>
      </w:r>
      <w:r>
        <w:t xml:space="preserve"> </w:t>
      </w:r>
      <w:hyperlink r:id="rId32">
        <w:r>
          <w:rPr>
            <w:rStyle w:val="Hyperlink"/>
          </w:rPr>
          <w:t xml:space="preserve">el Apéndice B</w:t>
        </w:r>
      </w:hyperlink>
      <w:r>
        <w:t xml:space="preserve">), que hace coerción de tipos, en lugar del operador más fiable</w:t>
      </w:r>
      <w:r>
        <w:t xml:space="preserve"> </w:t>
      </w:r>
      <w:r>
        <w:rPr>
          <w:rStyle w:val="VerbatimChar"/>
        </w:rPr>
        <w:t xml:space="preserve">===</w:t>
      </w:r>
      <w:r>
        <w:t xml:space="preserve">. A veces esos dos errores se anulan mutuamente, pero otras veces no.</w:t>
      </w:r>
    </w:p>
    <w:p>
      <w:pPr>
        <w:pStyle w:val="BodyText"/>
      </w:pPr>
      <w:r>
        <w:rPr>
          <w:rStyle w:val="VerbatimChar"/>
        </w:rPr>
        <w:t xml:space="preserve">undefined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no son constantes. Son variables globales, y puedes cambiar sus valores. Eso no debería ser posible, y sin embargo lo es. No lo hagas.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as12.html#the_many_falsy_values_of_javascript" TargetMode="External" /><Relationship Type="http://schemas.openxmlformats.org/officeDocument/2006/relationships/hyperlink" Id="rId32" Target="ap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as12.html#the_many_falsy_values_of_javascript" TargetMode="External" /><Relationship Type="http://schemas.openxmlformats.org/officeDocument/2006/relationships/hyperlink" Id="rId32" Target="ap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Falsy Values</dc:title>
  <dc:creator/>
  <cp:keywords/>
  <dcterms:created xsi:type="dcterms:W3CDTF">2024-02-29T04:30:21Z</dcterms:created>
  <dcterms:modified xsi:type="dcterms:W3CDTF">2024-02-29T04:30:21Z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