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switch</w:t>
      </w:r>
      <w:r>
        <w:t xml:space="preserve"> </w:t>
      </w:r>
      <w:r>
        <w:t xml:space="preserve">Statement</w:t>
      </w:r>
    </w:p>
    <w:bookmarkStart w:id="21" w:name="declaración-switch"/>
    <w:p>
      <w:pPr>
        <w:pStyle w:val="Heading1"/>
      </w:pPr>
      <w:bookmarkStart w:id="20" w:name="switch_statement"/>
      <w:bookmarkEnd w:id="20"/>
      <w:r>
        <w:t xml:space="preserve">Declaración switch</w:t>
      </w:r>
    </w:p>
    <w:bookmarkEnd w:id="21"/>
    <w:p>
      <w:pPr>
        <w:pStyle w:val="FirstParagraph"/>
      </w:pPr>
      <w:r>
        <w:t xml:space="preserve">Un error común en las sentencias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es olvidar colocar una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después de cada caso, lo que provoca una caída involuntaria. JSLint espera que la sentencia que precede al siguiente caso o valor por defecto sea una de estas: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o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Statement</dc:title>
  <dc:creator/>
  <cp:keywords/>
  <dcterms:created xsi:type="dcterms:W3CDTF">2024-02-29T04:30:53Z</dcterms:created>
  <dcterms:modified xsi:type="dcterms:W3CDTF">2024-02-29T04:30:53Z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