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Unreachable</w:t>
      </w:r>
      <w:r>
        <w:t xml:space="preserve"> </w:t>
      </w:r>
      <w:r>
        <w:t xml:space="preserve">Code</w:t>
      </w:r>
    </w:p>
    <w:bookmarkStart w:id="21" w:name="código-inalcanzable"/>
    <w:p>
      <w:pPr>
        <w:pStyle w:val="Heading1"/>
      </w:pPr>
      <w:bookmarkStart w:id="20" w:name="unreachable_code"/>
      <w:bookmarkEnd w:id="20"/>
      <w:r>
        <w:t xml:space="preserve">Código inalcanzable</w:t>
      </w:r>
    </w:p>
    <w:bookmarkEnd w:id="21"/>
    <w:p>
      <w:pPr>
        <w:pStyle w:val="FirstParagraph"/>
      </w:pPr>
      <w:r>
        <w:t xml:space="preserve">JSLint espera que una sentencia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,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, o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vaya seguida de una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case</w:t>
      </w:r>
      <w:r>
        <w:t xml:space="preserve">o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Unreachable Code</dc:title>
  <dc:creator/>
  <cp:keywords/>
  <dcterms:created xsi:type="dcterms:W3CDTF">2024-02-29T04:30:59Z</dcterms:created>
  <dcterms:modified xsi:type="dcterms:W3CDTF">2024-02-29T04:30:59Z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