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JSON</w:t>
      </w:r>
    </w:p>
    <w:bookmarkStart w:id="21" w:name="json"/>
    <w:p>
      <w:pPr>
        <w:pStyle w:val="Heading1"/>
      </w:pPr>
      <w:bookmarkStart w:id="20" w:name="json-id1"/>
      <w:bookmarkEnd w:id="20"/>
      <w:r>
        <w:t xml:space="preserve">JSON</w:t>
      </w:r>
    </w:p>
    <w:bookmarkEnd w:id="21"/>
    <w:p>
      <w:pPr>
        <w:pStyle w:val="FirstParagraph"/>
      </w:pPr>
      <w:r>
        <w:t xml:space="preserve">JSLint también puede comprobar que las estructuras de datos JSON están bien formadas. Si el primer carácter que ve JSLint es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[</w:t>
      </w:r>
      <w:r>
        <w:t xml:space="preserve">, entonces aplica estrictamente las reglas JSON. Consulta</w:t>
      </w:r>
      <w:r>
        <w:t xml:space="preserve"> </w:t>
      </w:r>
      <w:hyperlink r:id="rId22">
        <w:r>
          <w:rPr>
            <w:rStyle w:val="Hyperlink"/>
          </w:rPr>
          <w:t xml:space="preserve">el Apéndice E</w:t>
        </w:r>
      </w:hyperlink>
      <w:r>
        <w:t xml:space="preserve">.</w:t>
      </w:r>
      <w:bookmarkStart w:id="23" w:name="IDX-APP-C-0685"/>
      <w:bookmarkEnd w:id="23"/>
      <w:bookmarkStart w:id="24" w:name="IDX-APP-C-0686"/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JSON</dc:title>
  <dc:creator/>
  <cp:keywords/>
  <dcterms:created xsi:type="dcterms:W3CDTF">2024-02-29T04:31:10Z</dcterms:created>
  <dcterms:modified xsi:type="dcterms:W3CDTF">2024-02-29T04:31:10Z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