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informe"/>
    <w:p>
      <w:pPr>
        <w:pStyle w:val="Heading1"/>
      </w:pPr>
      <w:bookmarkStart w:id="20" w:name="report"/>
      <w:bookmarkEnd w:id="20"/>
      <w:r>
        <w:t xml:space="preserve">Informe</w:t>
      </w:r>
    </w:p>
    <w:bookmarkEnd w:id="21"/>
    <w:p>
      <w:pPr>
        <w:pStyle w:val="FirstParagraph"/>
      </w:pPr>
      <w:r>
        <w:t xml:space="preserve">Si JSLint puede completar su análisis, genera un informe de la función. Enumera lo siguiente para cada función:</w:t>
      </w:r>
      <w:bookmarkStart w:id="22" w:name="IDX-APP-C-0687"/>
      <w:bookmarkEnd w:id="22"/>
      <w:bookmarkStart w:id="23" w:name="IDX-APP-C-0688"/>
      <w:bookmarkEnd w:id="23"/>
    </w:p>
    <w:p>
      <w:pPr>
        <w:numPr>
          <w:ilvl w:val="0"/>
          <w:numId w:val="1001"/>
        </w:numPr>
      </w:pPr>
      <w:r>
        <w:t xml:space="preserve">El número de línea en el que comienza.</w:t>
      </w:r>
    </w:p>
    <w:p>
      <w:pPr>
        <w:numPr>
          <w:ilvl w:val="0"/>
          <w:numId w:val="1001"/>
        </w:numPr>
      </w:pPr>
      <w:r>
        <w:t xml:space="preserve">Su nombre. En el caso de funciones anónimas, JSLint "adivinará" el nombre.</w:t>
      </w:r>
    </w:p>
    <w:p>
      <w:pPr>
        <w:numPr>
          <w:ilvl w:val="0"/>
          <w:numId w:val="1001"/>
        </w:numPr>
      </w:pPr>
      <w:r>
        <w:t xml:space="preserve">Los parámetros.</w:t>
      </w:r>
    </w:p>
    <w:p>
      <w:pPr>
        <w:numPr>
          <w:ilvl w:val="0"/>
          <w:numId w:val="1001"/>
        </w:numPr>
      </w:pPr>
      <w:r>
        <w:t xml:space="preserve">Cierre: las variables y parámetros declarados en la función que utilizan sus funciones internas.</w:t>
      </w:r>
    </w:p>
    <w:p>
      <w:pPr>
        <w:numPr>
          <w:ilvl w:val="0"/>
          <w:numId w:val="1001"/>
        </w:numPr>
      </w:pPr>
      <w:r>
        <w:t xml:space="preserve">Variables: las variables declaradas en la función que sólo utiliza la función.</w:t>
      </w:r>
    </w:p>
    <w:p>
      <w:pPr>
        <w:numPr>
          <w:ilvl w:val="0"/>
          <w:numId w:val="1001"/>
        </w:numPr>
      </w:pPr>
      <w:r>
        <w:t xml:space="preserve">No utilizadas: las variables declaradas en la función que no se utilizan, lo que puede indicar un error.</w:t>
      </w:r>
    </w:p>
    <w:p>
      <w:pPr>
        <w:numPr>
          <w:ilvl w:val="0"/>
          <w:numId w:val="1001"/>
        </w:numPr>
      </w:pPr>
      <w:r>
        <w:t xml:space="preserve">Externas: variables utilizadas por esta función que están declaradas en otra función.</w:t>
      </w:r>
    </w:p>
    <w:p>
      <w:pPr>
        <w:numPr>
          <w:ilvl w:val="0"/>
          <w:numId w:val="1001"/>
        </w:numPr>
      </w:pPr>
      <w:r>
        <w:t xml:space="preserve">Globales: variables globales que utiliza esta función.</w:t>
      </w:r>
    </w:p>
    <w:p>
      <w:pPr>
        <w:numPr>
          <w:ilvl w:val="0"/>
          <w:numId w:val="1001"/>
        </w:numPr>
      </w:pPr>
      <w:r>
        <w:t xml:space="preserve">Etiqueta: etiquetas de sentencia que utiliza esta función.</w:t>
      </w:r>
    </w:p>
    <w:p>
      <w:pPr>
        <w:pStyle w:val="FirstParagraph"/>
      </w:pPr>
      <w:r>
        <w:t xml:space="preserve">El informe también incluirá una lista de todos los nombres de miembros utilizados.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2024-02-29T04:31:11Z</dcterms:created>
  <dcterms:modified xsi:type="dcterms:W3CDTF">2024-02-29T04:31:11Z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