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2.png" ContentType="image/png"/>
  <Override PartName="/word/media/rId72.png" ContentType="image/png"/>
  <Override PartName="/word/media/rId2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Expressions</w:t>
      </w:r>
    </w:p>
    <w:bookmarkStart w:id="21" w:name="expresiones"/>
    <w:p>
      <w:pPr>
        <w:pStyle w:val="Heading1"/>
      </w:pPr>
      <w:bookmarkStart w:id="20" w:name="expressions"/>
      <w:bookmarkEnd w:id="20"/>
      <w:r>
        <w:t xml:space="preserve">Expresiones</w:t>
      </w:r>
    </w:p>
    <w:bookmarkEnd w:id="21"/>
    <w:p>
      <w:pPr>
        <w:pStyle w:val="FirstParagraph"/>
      </w:pPr>
      <w:bookmarkStart w:id="22" w:name="I_mediaobject2_d1e1500"/>
      <w:bookmarkEnd w:id="22"/>
      <w:r>
        <w:drawing>
          <wp:inline>
            <wp:extent cx="4303776" cy="3048000"/>
            <wp:effectExtent b="0" l="0" r="0" t="0"/>
            <wp:docPr descr="image with no caption" title="" id="24" name="Picture"/>
            <a:graphic>
              <a:graphicData uri="http://schemas.openxmlformats.org/drawingml/2006/picture">
                <pic:pic>
                  <pic:nvPicPr>
                    <pic:cNvPr descr="httpatomoreillycomsourceoreillyimages238846.png" id="25" name="Picture"/>
                    <pic:cNvPicPr>
                      <a:picLocks noChangeArrowheads="1" noChangeAspect="1"/>
                    </pic:cNvPicPr>
                  </pic:nvPicPr>
                  <pic:blipFill>
                    <a:blip r:embed="rId23"/>
                    <a:stretch>
                      <a:fillRect/>
                    </a:stretch>
                  </pic:blipFill>
                  <pic:spPr bwMode="auto">
                    <a:xfrm>
                      <a:off x="0" y="0"/>
                      <a:ext cx="4303776" cy="3048000"/>
                    </a:xfrm>
                    <a:prstGeom prst="rect">
                      <a:avLst/>
                    </a:prstGeom>
                    <a:noFill/>
                    <a:ln w="9525">
                      <a:noFill/>
                      <a:headEnd/>
                      <a:tailEnd/>
                    </a:ln>
                  </pic:spPr>
                </pic:pic>
              </a:graphicData>
            </a:graphic>
          </wp:inline>
        </w:drawing>
      </w:r>
    </w:p>
    <w:p>
      <w:pPr>
        <w:pStyle w:val="BodyText"/>
      </w:pPr>
      <w:r>
        <w:t xml:space="preserve">Las expresiones más sencillas son un valor literal (como una cadena o un número), una variable, un valor incorporado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NaN</w:t>
      </w:r>
      <w:r>
        <w:t xml:space="preserve"> </w:t>
      </w:r>
      <w:r>
        <w:t xml:space="preserve">o</w:t>
      </w:r>
      <w:r>
        <w:t xml:space="preserve"> </w:t>
      </w:r>
      <w:r>
        <w:rPr>
          <w:rStyle w:val="VerbatimChar"/>
        </w:rPr>
        <w:t xml:space="preserve">Infinity</w:t>
      </w:r>
      <w:r>
        <w:t xml:space="preserve">), una expresión de invocación precedida de</w:t>
      </w:r>
      <w:r>
        <w:t xml:space="preserve"> </w:t>
      </w:r>
      <w:r>
        <w:rPr>
          <w:rStyle w:val="VerbatimChar"/>
        </w:rPr>
        <w:t xml:space="preserve">new</w:t>
      </w:r>
      <w:r>
        <w:t xml:space="preserve">, una expresión de refinamiento precedida de</w:t>
      </w:r>
      <w:r>
        <w:t xml:space="preserve"> </w:t>
      </w:r>
      <w:r>
        <w:rPr>
          <w:rStyle w:val="VerbatimChar"/>
        </w:rPr>
        <w:t xml:space="preserve">delete</w:t>
      </w:r>
      <w:r>
        <w:t xml:space="preserve">, una expresión entre paréntesis, una expresión precedida de un operador prefijo o una expresión seguida de:</w:t>
      </w:r>
      <w:bookmarkStart w:id="26" w:name="IDX-CHP-2-0111"/>
      <w:bookmarkEnd w:id="26"/>
      <w:bookmarkStart w:id="27" w:name="IDX-CHP-2-0112"/>
      <w:bookmarkEnd w:id="27"/>
      <w:bookmarkStart w:id="28" w:name="IDX-CHP-2-0113"/>
      <w:bookmarkEnd w:id="28"/>
      <w:bookmarkStart w:id="29" w:name="IDX-CHP-2-0114"/>
      <w:bookmarkEnd w:id="29"/>
      <w:bookmarkStart w:id="30" w:name="IDX-CHP-2-0115"/>
      <w:bookmarkEnd w:id="30"/>
      <w:bookmarkStart w:id="31" w:name="IDX-CHP-2-0116"/>
      <w:bookmarkEnd w:id="31"/>
      <w:bookmarkStart w:id="32" w:name="IDX-CHP-2-0117"/>
      <w:bookmarkEnd w:id="32"/>
      <w:bookmarkStart w:id="33" w:name="IDX-CHP-2-0118"/>
      <w:bookmarkEnd w:id="33"/>
      <w:bookmarkStart w:id="34" w:name="IDX-CHP-2-0119"/>
      <w:bookmarkEnd w:id="34"/>
      <w:bookmarkStart w:id="35" w:name="IDX-CHP-2-0120"/>
      <w:bookmarkEnd w:id="35"/>
      <w:bookmarkStart w:id="36" w:name="IDX-CHP-2-0121"/>
      <w:bookmarkEnd w:id="36"/>
      <w:bookmarkStart w:id="37" w:name="IDX-CHP-2-0122"/>
      <w:bookmarkEnd w:id="37"/>
      <w:bookmarkStart w:id="38" w:name="IDX-CHP-2-0123"/>
      <w:bookmarkEnd w:id="38"/>
      <w:bookmarkStart w:id="39" w:name="IDX-CHP-2-0110"/>
      <w:bookmarkEnd w:id="39"/>
      <w:bookmarkStart w:id="40" w:name="IDX-CHP-2-0124"/>
      <w:bookmarkEnd w:id="40"/>
      <w:bookmarkStart w:id="41" w:name="IDX-CHP-2-0125"/>
      <w:bookmarkEnd w:id="41"/>
      <w:bookmarkStart w:id="42" w:name="IDX-CHP-2-0126"/>
      <w:bookmarkEnd w:id="42"/>
      <w:bookmarkStart w:id="43" w:name="IDX-CHP-2-0127"/>
      <w:bookmarkEnd w:id="43"/>
      <w:bookmarkStart w:id="44" w:name="IDX-CHP-2-0128"/>
      <w:bookmarkEnd w:id="44"/>
      <w:bookmarkStart w:id="45" w:name="IDX-CHP-2-0129"/>
      <w:bookmarkEnd w:id="45"/>
      <w:bookmarkStart w:id="46" w:name="IDX-CHP-2-0130"/>
      <w:bookmarkEnd w:id="46"/>
      <w:bookmarkStart w:id="47" w:name="IDX-CHP-2-0131"/>
      <w:bookmarkEnd w:id="47"/>
      <w:bookmarkStart w:id="48" w:name="IDX-CHP-2-0132"/>
      <w:bookmarkEnd w:id="48"/>
    </w:p>
    <w:p>
      <w:pPr>
        <w:numPr>
          <w:ilvl w:val="0"/>
          <w:numId w:val="1001"/>
        </w:numPr>
      </w:pPr>
      <w:r>
        <w:t xml:space="preserve">Un operador infijo y otra expresión</w:t>
      </w:r>
      <w:bookmarkStart w:id="49" w:name="IDX-CHP-2-0133"/>
      <w:bookmarkEnd w:id="49"/>
    </w:p>
    <w:p>
      <w:pPr>
        <w:numPr>
          <w:ilvl w:val="0"/>
          <w:numId w:val="1001"/>
        </w:numPr>
      </w:pPr>
      <w:r>
        <w:t xml:space="preserve">El operador ternario</w:t>
      </w:r>
      <w:r>
        <w:t xml:space="preserve"> </w:t>
      </w:r>
      <w:r>
        <w:rPr>
          <w:rStyle w:val="VerbatimChar"/>
        </w:rPr>
        <w:t xml:space="preserve">?</w:t>
      </w:r>
      <w:r>
        <w:t xml:space="preserve"> </w:t>
      </w:r>
      <w:r>
        <w:t xml:space="preserve">seguido de otra expresión, luego por</w:t>
      </w:r>
      <w:r>
        <w:t xml:space="preserve"> </w:t>
      </w:r>
      <w:r>
        <w:rPr>
          <w:rStyle w:val="VerbatimChar"/>
        </w:rPr>
        <w:t xml:space="preserve">:</w:t>
      </w:r>
      <w:r>
        <w:t xml:space="preserve">, y luego por otra expresión más</w:t>
      </w:r>
    </w:p>
    <w:p>
      <w:pPr>
        <w:numPr>
          <w:ilvl w:val="0"/>
          <w:numId w:val="1001"/>
        </w:numPr>
      </w:pPr>
      <w:r>
        <w:t xml:space="preserve">Una invocación</w:t>
      </w:r>
    </w:p>
    <w:p>
      <w:pPr>
        <w:numPr>
          <w:ilvl w:val="0"/>
          <w:numId w:val="1001"/>
        </w:numPr>
      </w:pPr>
      <w:r>
        <w:t xml:space="preserve">Un refinamiento</w:t>
      </w:r>
    </w:p>
    <w:p>
      <w:pPr>
        <w:pStyle w:val="FirstParagraph"/>
      </w:pPr>
      <w:r>
        <w:t xml:space="preserve">El operador ternario</w:t>
      </w:r>
      <w:r>
        <w:t xml:space="preserve"> </w:t>
      </w:r>
      <w:r>
        <w:rPr>
          <w:rStyle w:val="VerbatimChar"/>
        </w:rPr>
        <w:t xml:space="preserve">?</w:t>
      </w:r>
      <w:r>
        <w:t xml:space="preserve"> </w:t>
      </w:r>
      <w:r>
        <w:t xml:space="preserve">toma tres operandos. Si el primer operando es verdadero, produce el valor del segundo operando. Pero si el primer operando es falso, produce el valor del tercer operando.</w:t>
      </w:r>
    </w:p>
    <w:p>
      <w:pPr>
        <w:pStyle w:val="BodyText"/>
      </w:pPr>
      <w:r>
        <w:t xml:space="preserve">Los operadores situados en la parte superior de la lista de precedencia de operadores de</w:t>
      </w:r>
      <w:r>
        <w:t xml:space="preserve"> </w:t>
      </w:r>
      <w:hyperlink r:id="rId50">
        <w:r>
          <w:rPr>
            <w:rStyle w:val="Hyperlink"/>
          </w:rPr>
          <w:t xml:space="preserve">la Tabla 2-1</w:t>
        </w:r>
      </w:hyperlink>
      <w:r>
        <w:t xml:space="preserve"> </w:t>
      </w:r>
      <w:r>
        <w:t xml:space="preserve">tienen mayor precedencia y se vinculan más estrechamente. Los operadores de la parte inferior tienen la precedencia más baja. Se pueden utilizar paréntesis para alterar la precedencia normal, así:</w:t>
      </w:r>
      <w:bookmarkStart w:id="51" w:name="IDX-CHP-2-0134"/>
      <w:bookmarkEnd w:id="51"/>
      <w:bookmarkStart w:id="52" w:name="IDX-CHP-2-0135"/>
      <w:bookmarkEnd w:id="52"/>
    </w:p>
    <w:p>
      <w:pPr>
        <w:pStyle w:val="BodyText"/>
      </w:pPr>
      <w:bookmarkStart w:id="53" w:name="I_programlisting2_d1e1660"/>
      <w:bookmarkEnd w:id="53"/>
    </w:p>
    <w:p>
      <w:pPr>
        <w:pStyle w:val="SourceCode"/>
      </w:pPr>
      <w:r>
        <w:rPr>
          <w:rStyle w:val="VerbatimChar"/>
        </w:rPr>
        <w:t xml:space="preserve">2 + 3 * 5 === 17</w:t>
      </w:r>
      <w:r>
        <w:br/>
      </w:r>
      <w:r>
        <w:rPr>
          <w:rStyle w:val="VerbatimChar"/>
        </w:rPr>
        <w:t xml:space="preserve">(2 + 3) * 5 === 25</w:t>
      </w:r>
    </w:p>
    <w:p>
      <w:pPr>
        <w:pStyle w:val="FirstParagraph"/>
      </w:pPr>
      <w:bookmarkStart w:id="54" w:name="operator_precedence"/>
      <w:bookmarkEnd w:id="54"/>
    </w:p>
    <w:p>
      <w:pPr>
        <w:pStyle w:val="BodyText"/>
      </w:pPr>
      <w:r>
        <w:t xml:space="preserve">Tabla 2-1. Precedencia de los operadores</w:t>
      </w:r>
    </w:p>
    <w:tbl>
      <w:tblPr>
        <w:tblStyle w:val="Table"/>
        <w:tblW w:type="auto" w:w="0"/>
        <w:jc w:val="left"/>
        <w:tblLook w:firstRow="0" w:lastRow="0" w:firstColumn="0" w:lastColumn="0" w:noHBand="0" w:noVBand="0" w:val="0000"/>
      </w:tblPr>
      <w:tblGrid>
        <w:gridCol w:w="3960"/>
        <w:gridCol w:w="3960"/>
      </w:tblGrid>
      <w:tr>
        <w:tc>
          <w:tcPr/>
          <w:p>
            <w:pPr>
              <w:jc w:val="left"/>
            </w:pPr>
            <w:r>
              <w:rPr>
                <w:rStyle w:val="VerbatimChar"/>
              </w:rPr>
              <w:t xml:space="preserve">. [] ( )</w:t>
            </w:r>
          </w:p>
        </w:tc>
        <w:tc>
          <w:tcPr/>
          <w:p>
            <w:pPr>
              <w:jc w:val="left"/>
            </w:pPr>
            <w:r>
              <w:t xml:space="preserve">Refinamiento e invocación</w:t>
            </w:r>
          </w:p>
        </w:tc>
      </w:tr>
      <w:tr>
        <w:tc>
          <w:tcPr/>
          <w:p>
            <w:pPr>
              <w:jc w:val="left"/>
            </w:pPr>
            <w:r>
              <w:rPr>
                <w:rStyle w:val="VerbatimChar"/>
              </w:rPr>
              <w:t xml:space="preserve">delete new typeof + - !</w:t>
            </w:r>
          </w:p>
        </w:tc>
        <w:tc>
          <w:tcPr/>
          <w:p>
            <w:pPr>
              <w:jc w:val="left"/>
            </w:pPr>
            <w:r>
              <w:t xml:space="preserve">Operadores unarios</w:t>
            </w:r>
          </w:p>
        </w:tc>
      </w:tr>
      <w:tr>
        <w:tc>
          <w:tcPr/>
          <w:p>
            <w:pPr>
              <w:jc w:val="left"/>
            </w:pPr>
            <w:r>
              <w:rPr>
                <w:rStyle w:val="VerbatimChar"/>
              </w:rPr>
              <w:t xml:space="preserve">* / %</w:t>
            </w:r>
          </w:p>
        </w:tc>
        <w:tc>
          <w:tcPr/>
          <w:p>
            <w:pPr>
              <w:jc w:val="left"/>
            </w:pPr>
            <w:r>
              <w:t xml:space="preserve">Multiplicación, división, resto</w:t>
            </w:r>
          </w:p>
        </w:tc>
      </w:tr>
      <w:tr>
        <w:tc>
          <w:tcPr/>
          <w:p>
            <w:pPr>
              <w:jc w:val="left"/>
            </w:pPr>
            <w:r>
              <w:rPr>
                <w:rStyle w:val="VerbatimChar"/>
              </w:rPr>
              <w:t xml:space="preserve">+ -</w:t>
            </w:r>
          </w:p>
        </w:tc>
        <w:tc>
          <w:tcPr/>
          <w:p>
            <w:pPr>
              <w:jc w:val="left"/>
            </w:pPr>
            <w:r>
              <w:t xml:space="preserve">Suma/concatenación, resta</w:t>
            </w:r>
          </w:p>
        </w:tc>
      </w:tr>
      <w:tr>
        <w:tc>
          <w:tcPr/>
          <w:p>
            <w:pPr>
              <w:jc w:val="left"/>
            </w:pPr>
            <w:r>
              <w:rPr>
                <w:rStyle w:val="VerbatimChar"/>
              </w:rPr>
              <w:t xml:space="preserve">&gt;= &lt;= &gt; &lt;</w:t>
            </w:r>
          </w:p>
        </w:tc>
        <w:tc>
          <w:tcPr/>
          <w:p>
            <w:pPr>
              <w:jc w:val="left"/>
            </w:pPr>
            <w:r>
              <w:t xml:space="preserve">Desigualdad</w:t>
            </w:r>
          </w:p>
        </w:tc>
      </w:tr>
      <w:tr>
        <w:tc>
          <w:tcPr/>
          <w:p>
            <w:pPr>
              <w:jc w:val="left"/>
            </w:pPr>
            <w:r>
              <w:rPr>
                <w:rStyle w:val="VerbatimChar"/>
              </w:rPr>
              <w:t xml:space="preserve">=== !==</w:t>
            </w:r>
          </w:p>
        </w:tc>
        <w:tc>
          <w:tcPr/>
          <w:p>
            <w:pPr>
              <w:jc w:val="left"/>
            </w:pPr>
            <w:r>
              <w:t xml:space="preserve">Igualdad</w:t>
            </w:r>
          </w:p>
        </w:tc>
      </w:tr>
      <w:tr>
        <w:tc>
          <w:tcPr/>
          <w:p>
            <w:pPr>
              <w:jc w:val="left"/>
            </w:pPr>
            <w:r>
              <w:rPr>
                <w:rStyle w:val="VerbatimChar"/>
              </w:rPr>
              <w:t xml:space="preserve">&amp;&amp;</w:t>
            </w:r>
          </w:p>
        </w:tc>
        <w:tc>
          <w:tcPr/>
          <w:p>
            <w:pPr>
              <w:jc w:val="left"/>
            </w:pPr>
            <w:r>
              <w:t xml:space="preserve">Lógica y</w:t>
            </w:r>
          </w:p>
        </w:tc>
      </w:tr>
      <w:tr>
        <w:tc>
          <w:tcPr/>
          <w:p>
            <w:pPr>
              <w:jc w:val="left"/>
            </w:pPr>
            <w:r>
              <w:rPr>
                <w:rStyle w:val="VerbatimChar"/>
              </w:rPr>
              <w:t xml:space="preserve">||</w:t>
            </w:r>
          </w:p>
        </w:tc>
        <w:tc>
          <w:tcPr/>
          <w:p>
            <w:pPr>
              <w:jc w:val="left"/>
            </w:pPr>
            <w:r>
              <w:t xml:space="preserve">Lógica o</w:t>
            </w:r>
          </w:p>
        </w:tc>
      </w:tr>
      <w:tr>
        <w:tc>
          <w:tcPr/>
          <w:p>
            <w:pPr>
              <w:jc w:val="left"/>
            </w:pPr>
            <w:r>
              <w:rPr>
                <w:rStyle w:val="VerbatimChar"/>
              </w:rPr>
              <w:t xml:space="preserve">?:</w:t>
            </w:r>
          </w:p>
        </w:tc>
        <w:tc>
          <w:tcPr/>
          <w:p>
            <w:pPr>
              <w:jc w:val="left"/>
            </w:pPr>
            <w:r>
              <w:t xml:space="preserve">Ternario</w:t>
            </w:r>
          </w:p>
        </w:tc>
      </w:tr>
    </w:tbl>
    <w:p>
      <w:pPr>
        <w:pStyle w:val="BodyText"/>
      </w:pPr>
      <w:bookmarkStart w:id="55" w:name="I_mediaobject2_d1e1742"/>
      <w:bookmarkEnd w:id="55"/>
      <w:r>
        <w:drawing>
          <wp:inline>
            <wp:extent cx="4303776" cy="1267968"/>
            <wp:effectExtent b="0" l="0" r="0" t="0"/>
            <wp:docPr descr="image with no caption" title="" id="57" name="Picture"/>
            <a:graphic>
              <a:graphicData uri="http://schemas.openxmlformats.org/drawingml/2006/picture">
                <pic:pic>
                  <pic:nvPicPr>
                    <pic:cNvPr descr="httpatomoreillycomsourceoreillyimages238864.png" id="58" name="Picture"/>
                    <pic:cNvPicPr>
                      <a:picLocks noChangeArrowheads="1" noChangeAspect="1"/>
                    </pic:cNvPicPr>
                  </pic:nvPicPr>
                  <pic:blipFill>
                    <a:blip r:embed="rId56"/>
                    <a:stretch>
                      <a:fillRect/>
                    </a:stretch>
                  </pic:blipFill>
                  <pic:spPr bwMode="auto">
                    <a:xfrm>
                      <a:off x="0" y="0"/>
                      <a:ext cx="4303776" cy="1267968"/>
                    </a:xfrm>
                    <a:prstGeom prst="rect">
                      <a:avLst/>
                    </a:prstGeom>
                    <a:noFill/>
                    <a:ln w="9525">
                      <a:noFill/>
                      <a:headEnd/>
                      <a:tailEnd/>
                    </a:ln>
                  </pic:spPr>
                </pic:pic>
              </a:graphicData>
            </a:graphic>
          </wp:inline>
        </w:drawing>
      </w:r>
    </w:p>
    <w:p>
      <w:pPr>
        <w:pStyle w:val="BodyText"/>
      </w:pPr>
      <w:r>
        <w:t xml:space="preserve">Los valores producidos por</w:t>
      </w:r>
      <w:r>
        <w:t xml:space="preserve"> </w:t>
      </w:r>
      <w:r>
        <w:rPr>
          <w:rStyle w:val="VerbatimChar"/>
        </w:rPr>
        <w:t xml:space="preserve">typeof</w:t>
      </w:r>
      <w:r>
        <w:t xml:space="preserve"> </w:t>
      </w:r>
      <w:r>
        <w:t xml:space="preserve">son</w:t>
      </w:r>
      <w:r>
        <w:t xml:space="preserve"> </w:t>
      </w:r>
      <w:r>
        <w:rPr>
          <w:rStyle w:val="VerbatimChar"/>
        </w:rPr>
        <w:t xml:space="preserve">'number'</w:t>
      </w:r>
      <w:r>
        <w:t xml:space="preserve">,</w:t>
      </w:r>
      <w:r>
        <w:t xml:space="preserve"> </w:t>
      </w:r>
      <w:r>
        <w:rPr>
          <w:rStyle w:val="VerbatimChar"/>
        </w:rPr>
        <w:t xml:space="preserve">'string'</w:t>
      </w:r>
      <w:r>
        <w:t xml:space="preserve">,</w:t>
      </w:r>
      <w:r>
        <w:t xml:space="preserve"> </w:t>
      </w:r>
      <w:r>
        <w:rPr>
          <w:rStyle w:val="VerbatimChar"/>
        </w:rPr>
        <w:t xml:space="preserve">'boolean'</w:t>
      </w:r>
      <w:r>
        <w:t xml:space="preserve">,</w:t>
      </w:r>
      <w:r>
        <w:t xml:space="preserve"> </w:t>
      </w:r>
      <w:r>
        <w:rPr>
          <w:rStyle w:val="VerbatimChar"/>
        </w:rPr>
        <w:t xml:space="preserve">'undefined'</w:t>
      </w:r>
      <w:r>
        <w:t xml:space="preserve">,</w:t>
      </w:r>
      <w:r>
        <w:t xml:space="preserve"> </w:t>
      </w:r>
      <w:r>
        <w:rPr>
          <w:rStyle w:val="VerbatimChar"/>
        </w:rPr>
        <w:t xml:space="preserve">'function'</w:t>
      </w:r>
      <w:r>
        <w:t xml:space="preserve">, y</w:t>
      </w:r>
      <w:r>
        <w:t xml:space="preserve"> </w:t>
      </w:r>
      <w:r>
        <w:rPr>
          <w:rStyle w:val="VerbatimChar"/>
        </w:rPr>
        <w:t xml:space="preserve">'object'</w:t>
      </w:r>
      <w:r>
        <w:t xml:space="preserve">. Si el operando es una matriz o</w:t>
      </w:r>
      <w:r>
        <w:t xml:space="preserve"> </w:t>
      </w:r>
      <w:r>
        <w:rPr>
          <w:rStyle w:val="VerbatimChar"/>
        </w:rPr>
        <w:t xml:space="preserve">null</w:t>
      </w:r>
      <w:r>
        <w:t xml:space="preserve">, el resultado es</w:t>
      </w:r>
      <w:r>
        <w:t xml:space="preserve"> </w:t>
      </w:r>
      <w:r>
        <w:rPr>
          <w:rStyle w:val="VerbatimChar"/>
        </w:rPr>
        <w:t xml:space="preserve">'object'</w:t>
      </w:r>
      <w:r>
        <w:t xml:space="preserve">, que es incorrecto. Encontrarás más información sobre</w:t>
      </w:r>
      <w:r>
        <w:t xml:space="preserve"> </w:t>
      </w:r>
      <w:r>
        <w:rPr>
          <w:rStyle w:val="VerbatimChar"/>
        </w:rPr>
        <w:t xml:space="preserve">typeof</w:t>
      </w:r>
      <w:r>
        <w:t xml:space="preserve"> </w:t>
      </w:r>
      <w:r>
        <w:t xml:space="preserve">en</w:t>
      </w:r>
      <w:r>
        <w:t xml:space="preserve"> </w:t>
      </w:r>
      <w:hyperlink r:id="rId59">
        <w:r>
          <w:rPr>
            <w:rStyle w:val="Hyperlink"/>
          </w:rPr>
          <w:t xml:space="preserve">el Capítulo 6</w:t>
        </w:r>
      </w:hyperlink>
      <w:r>
        <w:t xml:space="preserve"> </w:t>
      </w:r>
      <w:r>
        <w:t xml:space="preserve">y en el</w:t>
      </w:r>
      <w:r>
        <w:t xml:space="preserve"> </w:t>
      </w:r>
      <w:hyperlink r:id="rId60">
        <w:r>
          <w:rPr>
            <w:rStyle w:val="Hyperlink"/>
          </w:rPr>
          <w:t xml:space="preserve">Apéndice A</w:t>
        </w:r>
      </w:hyperlink>
      <w:r>
        <w:t xml:space="preserve">.</w:t>
      </w:r>
    </w:p>
    <w:p>
      <w:pPr>
        <w:pStyle w:val="BodyText"/>
      </w:pPr>
      <w:r>
        <w:t xml:space="preserve">Si el operando de</w:t>
      </w:r>
      <w:r>
        <w:t xml:space="preserve"> </w:t>
      </w:r>
      <w:r>
        <w:rPr>
          <w:rStyle w:val="VerbatimChar"/>
        </w:rPr>
        <w:t xml:space="preserve">!</w:t>
      </w:r>
      <w:r>
        <w:t xml:space="preserve"> </w:t>
      </w:r>
      <w:r>
        <w:t xml:space="preserve">es verdadero, produce</w:t>
      </w:r>
      <w:r>
        <w:t xml:space="preserve"> </w:t>
      </w:r>
      <w:r>
        <w:rPr>
          <w:rStyle w:val="VerbatimChar"/>
        </w:rPr>
        <w:t xml:space="preserve">false</w:t>
      </w:r>
      <w:r>
        <w:t xml:space="preserve">. En caso contrario, produce</w:t>
      </w:r>
      <w:r>
        <w:t xml:space="preserve"> </w:t>
      </w:r>
      <w:r>
        <w:rPr>
          <w:rStyle w:val="VerbatimChar"/>
        </w:rPr>
        <w:t xml:space="preserve">true</w:t>
      </w:r>
      <w:r>
        <w:t xml:space="preserve">.</w:t>
      </w:r>
    </w:p>
    <w:p>
      <w:pPr>
        <w:pStyle w:val="BodyText"/>
      </w:pPr>
      <w:bookmarkStart w:id="61" w:name="I_mediaobject2_d1e1798"/>
      <w:bookmarkEnd w:id="61"/>
      <w:r>
        <w:drawing>
          <wp:inline>
            <wp:extent cx="4206240" cy="1767839"/>
            <wp:effectExtent b="0" l="0" r="0" t="0"/>
            <wp:docPr descr="image with no caption" title="" id="63" name="Picture"/>
            <a:graphic>
              <a:graphicData uri="http://schemas.openxmlformats.org/drawingml/2006/picture">
                <pic:pic>
                  <pic:nvPicPr>
                    <pic:cNvPr descr="httpatomoreillycomsourceoreillyimages238798.png" id="64" name="Picture"/>
                    <pic:cNvPicPr>
                      <a:picLocks noChangeArrowheads="1" noChangeAspect="1"/>
                    </pic:cNvPicPr>
                  </pic:nvPicPr>
                  <pic:blipFill>
                    <a:blip r:embed="rId62"/>
                    <a:stretch>
                      <a:fillRect/>
                    </a:stretch>
                  </pic:blipFill>
                  <pic:spPr bwMode="auto">
                    <a:xfrm>
                      <a:off x="0" y="0"/>
                      <a:ext cx="4206240" cy="1767839"/>
                    </a:xfrm>
                    <a:prstGeom prst="rect">
                      <a:avLst/>
                    </a:prstGeom>
                    <a:noFill/>
                    <a:ln w="9525">
                      <a:noFill/>
                      <a:headEnd/>
                      <a:tailEnd/>
                    </a:ln>
                  </pic:spPr>
                </pic:pic>
              </a:graphicData>
            </a:graphic>
          </wp:inline>
        </w:drawing>
      </w:r>
    </w:p>
    <w:p>
      <w:pPr>
        <w:pStyle w:val="BodyText"/>
      </w:pPr>
      <w:r>
        <w:t xml:space="preserve">El operador</w:t>
      </w:r>
      <w:r>
        <w:t xml:space="preserve"> </w:t>
      </w:r>
      <w:r>
        <w:rPr>
          <w:rStyle w:val="VerbatimChar"/>
        </w:rPr>
        <w:t xml:space="preserve">+</w:t>
      </w:r>
      <w:r>
        <w:t xml:space="preserve"> </w:t>
      </w:r>
      <w:r>
        <w:t xml:space="preserve">suma o concatena. Si quieres que sume, asegúrate de que ambos operandos son números.</w:t>
      </w:r>
    </w:p>
    <w:p>
      <w:pPr>
        <w:pStyle w:val="BodyText"/>
      </w:pPr>
      <w:r>
        <w:t xml:space="preserve">El operador</w:t>
      </w:r>
      <w:r>
        <w:t xml:space="preserve"> </w:t>
      </w:r>
      <w:r>
        <w:rPr>
          <w:rStyle w:val="VerbatimChar"/>
        </w:rPr>
        <w:t xml:space="preserve">/</w:t>
      </w:r>
      <w:r>
        <w:t xml:space="preserve"> </w:t>
      </w:r>
      <w:r>
        <w:t xml:space="preserve">puede producir un resultado no entero aunque ambos operandos sean enteros.</w:t>
      </w:r>
    </w:p>
    <w:p>
      <w:pPr>
        <w:pStyle w:val="BodyText"/>
      </w:pPr>
      <w:r>
        <w:t xml:space="preserve">El operador</w:t>
      </w:r>
      <w:r>
        <w:t xml:space="preserve"> </w:t>
      </w:r>
      <w:r>
        <w:rPr>
          <w:rStyle w:val="VerbatimChar"/>
        </w:rPr>
        <w:t xml:space="preserve">&amp;&amp;</w:t>
      </w:r>
      <w:r>
        <w:t xml:space="preserve"> </w:t>
      </w:r>
      <w:r>
        <w:t xml:space="preserve">produce el valor de su primer operando si éste es falso. En caso contrario, produce el valor del segundo operando.</w:t>
      </w:r>
    </w:p>
    <w:p>
      <w:pPr>
        <w:pStyle w:val="BodyText"/>
      </w:pPr>
      <w:r>
        <w:t xml:space="preserve">El operador</w:t>
      </w:r>
      <w:r>
        <w:t xml:space="preserve"> </w:t>
      </w:r>
      <w:r>
        <w:rPr>
          <w:rStyle w:val="VerbatimChar"/>
        </w:rPr>
        <w:t xml:space="preserve">||</w:t>
      </w:r>
      <w:r>
        <w:t xml:space="preserve"> </w:t>
      </w:r>
      <w:r>
        <w:t xml:space="preserve">produce el valor de su primer operando si el primer operando es verdadero. En caso contrario, produce el valor del segundo operando.</w:t>
      </w:r>
    </w:p>
    <w:p>
      <w:pPr>
        <w:pStyle w:val="BodyText"/>
      </w:pPr>
      <w:bookmarkStart w:id="65" w:name="I_mediaobject2_d1e1824"/>
      <w:bookmarkEnd w:id="65"/>
      <w:r>
        <w:drawing>
          <wp:inline>
            <wp:extent cx="4194048" cy="646176"/>
            <wp:effectExtent b="0" l="0" r="0" t="0"/>
            <wp:docPr descr="image with no caption" title="" id="67" name="Picture"/>
            <a:graphic>
              <a:graphicData uri="http://schemas.openxmlformats.org/drawingml/2006/picture">
                <pic:pic>
                  <pic:nvPicPr>
                    <pic:cNvPr descr="httpatomoreillycomsourceoreillyimages238720.png" id="68" name="Picture"/>
                    <pic:cNvPicPr>
                      <a:picLocks noChangeArrowheads="1" noChangeAspect="1"/>
                    </pic:cNvPicPr>
                  </pic:nvPicPr>
                  <pic:blipFill>
                    <a:blip r:embed="rId66"/>
                    <a:stretch>
                      <a:fillRect/>
                    </a:stretch>
                  </pic:blipFill>
                  <pic:spPr bwMode="auto">
                    <a:xfrm>
                      <a:off x="0" y="0"/>
                      <a:ext cx="4194048" cy="646176"/>
                    </a:xfrm>
                    <a:prstGeom prst="rect">
                      <a:avLst/>
                    </a:prstGeom>
                    <a:noFill/>
                    <a:ln w="9525">
                      <a:noFill/>
                      <a:headEnd/>
                      <a:tailEnd/>
                    </a:ln>
                  </pic:spPr>
                </pic:pic>
              </a:graphicData>
            </a:graphic>
          </wp:inline>
        </w:drawing>
      </w:r>
    </w:p>
    <w:p>
      <w:pPr>
        <w:pStyle w:val="BodyText"/>
      </w:pPr>
      <w:r>
        <w:t xml:space="preserve">La invocación provoca la ejecución del valor de una función. El operador de invocación es un par de paréntesis que siguen al valor de la función. Los paréntesis pueden contener argumentos que se entregarán a la función. En el</w:t>
      </w:r>
      <w:r>
        <w:t xml:space="preserve"> </w:t>
      </w:r>
      <w:hyperlink r:id="rId69">
        <w:r>
          <w:rPr>
            <w:rStyle w:val="Hyperlink"/>
          </w:rPr>
          <w:t xml:space="preserve">Capítulo 4</w:t>
        </w:r>
      </w:hyperlink>
      <w:r>
        <w:t xml:space="preserve"> </w:t>
      </w:r>
      <w:r>
        <w:t xml:space="preserve">se tratará mucho más sobre las funciones.</w:t>
      </w:r>
      <w:bookmarkStart w:id="70" w:name="IDX-CHP-2-0136"/>
      <w:bookmarkEnd w:id="70"/>
    </w:p>
    <w:p>
      <w:pPr>
        <w:pStyle w:val="BodyText"/>
      </w:pPr>
      <w:bookmarkStart w:id="71" w:name="I_mediaobject2_d1e1837"/>
      <w:bookmarkEnd w:id="71"/>
      <w:r>
        <w:drawing>
          <wp:inline>
            <wp:extent cx="4139184" cy="646176"/>
            <wp:effectExtent b="0" l="0" r="0" t="0"/>
            <wp:docPr descr="image with no caption" title="" id="73" name="Picture"/>
            <a:graphic>
              <a:graphicData uri="http://schemas.openxmlformats.org/drawingml/2006/picture">
                <pic:pic>
                  <pic:nvPicPr>
                    <pic:cNvPr descr="httpatomoreillycomsourceoreillyimages238832.png" id="74" name="Picture"/>
                    <pic:cNvPicPr>
                      <a:picLocks noChangeArrowheads="1" noChangeAspect="1"/>
                    </pic:cNvPicPr>
                  </pic:nvPicPr>
                  <pic:blipFill>
                    <a:blip r:embed="rId72"/>
                    <a:stretch>
                      <a:fillRect/>
                    </a:stretch>
                  </pic:blipFill>
                  <pic:spPr bwMode="auto">
                    <a:xfrm>
                      <a:off x="0" y="0"/>
                      <a:ext cx="4139184" cy="646176"/>
                    </a:xfrm>
                    <a:prstGeom prst="rect">
                      <a:avLst/>
                    </a:prstGeom>
                    <a:noFill/>
                    <a:ln w="9525">
                      <a:noFill/>
                      <a:headEnd/>
                      <a:tailEnd/>
                    </a:ln>
                  </pic:spPr>
                </pic:pic>
              </a:graphicData>
            </a:graphic>
          </wp:inline>
        </w:drawing>
      </w:r>
    </w:p>
    <w:p>
      <w:pPr>
        <w:pStyle w:val="BodyText"/>
      </w:pPr>
      <w:r>
        <w:t xml:space="preserve">Un refinamiento se utiliza para especificar una propiedad o elemento de un objeto o matriz. Esto se describirá con detalle en el capítulo siguiente.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image" Id="rId23" Target="media/rId23.png" /><Relationship Type="http://schemas.openxmlformats.org/officeDocument/2006/relationships/image" Id="rId56" Target="media/rId56.png" /><Relationship Type="http://schemas.openxmlformats.org/officeDocument/2006/relationships/hyperlink" Id="rId60" Target="apa.html" TargetMode="External" /><Relationship Type="http://schemas.openxmlformats.org/officeDocument/2006/relationships/hyperlink" Id="rId50" Target="ch02s06.html#operator_precedence" TargetMode="External" /><Relationship Type="http://schemas.openxmlformats.org/officeDocument/2006/relationships/hyperlink" Id="rId69" Target="ch04.html" TargetMode="External" /><Relationship Type="http://schemas.openxmlformats.org/officeDocument/2006/relationships/hyperlink" Id="rId59" Target="ch06.html" TargetMode="External" /></Relationships>
</file>

<file path=word/_rels/footnotes.xml.rels><?xml version="1.0" encoding="UTF-8"?><Relationships xmlns="http://schemas.openxmlformats.org/package/2006/relationships"><Relationship Type="http://schemas.openxmlformats.org/officeDocument/2006/relationships/hyperlink" Id="rId60" Target="apa.html" TargetMode="External" /><Relationship Type="http://schemas.openxmlformats.org/officeDocument/2006/relationships/hyperlink" Id="rId50" Target="ch02s06.html#operator_precedence" TargetMode="External" /><Relationship Type="http://schemas.openxmlformats.org/officeDocument/2006/relationships/hyperlink" Id="rId69" Target="ch04.html" TargetMode="External" /><Relationship Type="http://schemas.openxmlformats.org/officeDocument/2006/relationships/hyperlink" Id="rId59" Target="ch0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Expressions</dc:title>
  <dc:creator/>
  <cp:keywords/>
  <dcterms:created xsi:type="dcterms:W3CDTF">2024-02-29T04:31:23Z</dcterms:created>
  <dcterms:modified xsi:type="dcterms:W3CDTF">2024-02-29T04:31:23Z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