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35.png" ContentType="image/png"/>
  <Override PartName="/word/media/rId42.png" ContentType="image/png"/>
  <Override PartName="/word/media/rId65.png" ContentType="image/png"/>
  <Override PartName="/word/media/rId104.png" ContentType="image/png"/>
  <Override PartName="/word/media/rId27.png" ContentType="image/png"/>
  <Override PartName="/word/media/rId91.png" ContentType="image/png"/>
  <Override PartName="/word/media/rId1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Elements</w:t>
      </w:r>
    </w:p>
    <w:bookmarkStart w:id="21" w:name="elementos"/>
    <w:p>
      <w:pPr>
        <w:pStyle w:val="Heading1"/>
      </w:pPr>
      <w:bookmarkStart w:id="20" w:name="elements"/>
      <w:bookmarkEnd w:id="20"/>
      <w:r>
        <w:t xml:space="preserve">Elementos</w:t>
      </w:r>
    </w:p>
    <w:bookmarkEnd w:id="21"/>
    <w:p>
      <w:pPr>
        <w:pStyle w:val="FirstParagraph"/>
      </w:pPr>
      <w:r>
        <w:t xml:space="preserve">Veamos más detenidamente los elementos que componen las expresiones regulares.</w:t>
      </w:r>
      <w:bookmarkStart w:id="22" w:name="IDX-CHP-7-0359"/>
      <w:bookmarkEnd w:id="22"/>
      <w:bookmarkStart w:id="23" w:name="IDX-CHP-7-0358"/>
      <w:bookmarkEnd w:id="23"/>
    </w:p>
    <w:bookmarkStart w:id="25" w:name="elección-regexp"/>
    <w:p>
      <w:pPr>
        <w:pStyle w:val="Heading2"/>
      </w:pPr>
      <w:bookmarkStart w:id="24" w:name="regexp_choice"/>
      <w:bookmarkEnd w:id="24"/>
      <w:r>
        <w:t xml:space="preserve">Elección Regexp</w:t>
      </w:r>
    </w:p>
    <w:bookmarkEnd w:id="25"/>
    <w:p>
      <w:pPr>
        <w:pStyle w:val="FirstParagraph"/>
      </w:pPr>
      <w:bookmarkStart w:id="26" w:name="I_mediaobject7_d1e5496"/>
      <w:bookmarkEnd w:id="26"/>
      <w:r>
        <w:drawing>
          <wp:inline>
            <wp:extent cx="4279392" cy="658368"/>
            <wp:effectExtent b="0" l="0" r="0" t="0"/>
            <wp:docPr descr="image with no caption" title="" id="28" name="Picture"/>
            <a:graphic>
              <a:graphicData uri="http://schemas.openxmlformats.org/drawingml/2006/picture">
                <pic:pic>
                  <pic:nvPicPr>
                    <pic:cNvPr descr="httpatomoreillycomsourceoreillyimages238826.png" id="29" name="Picture"/>
                    <pic:cNvPicPr>
                      <a:picLocks noChangeArrowheads="1" noChangeAspect="1"/>
                    </pic:cNvPicPr>
                  </pic:nvPicPr>
                  <pic:blipFill>
                    <a:blip r:embed="rId27"/>
                    <a:stretch>
                      <a:fillRect/>
                    </a:stretch>
                  </pic:blipFill>
                  <pic:spPr bwMode="auto">
                    <a:xfrm>
                      <a:off x="0" y="0"/>
                      <a:ext cx="4279392" cy="658368"/>
                    </a:xfrm>
                    <a:prstGeom prst="rect">
                      <a:avLst/>
                    </a:prstGeom>
                    <a:noFill/>
                    <a:ln w="9525">
                      <a:noFill/>
                      <a:headEnd/>
                      <a:tailEnd/>
                    </a:ln>
                  </pic:spPr>
                </pic:pic>
              </a:graphicData>
            </a:graphic>
          </wp:inline>
        </w:drawing>
      </w:r>
    </w:p>
    <w:p>
      <w:pPr>
        <w:pStyle w:val="BodyText"/>
      </w:pPr>
      <w:r>
        <w:t xml:space="preserve">A</w:t>
      </w:r>
      <w:r>
        <w:t xml:space="preserve"> </w:t>
      </w:r>
      <w:r>
        <w:rPr>
          <w:i/>
          <w:iCs/>
        </w:rPr>
        <w:t xml:space="preserve">regexp choice</w:t>
      </w:r>
      <w:r>
        <w:t xml:space="preserve"> </w:t>
      </w:r>
      <w:r>
        <w:t xml:space="preserve">contiene uno o varios</w:t>
      </w:r>
      <w:r>
        <w:t xml:space="preserve"> </w:t>
      </w:r>
      <w:r>
        <w:rPr>
          <w:i/>
          <w:iCs/>
        </w:rPr>
        <w:t xml:space="preserve">regexp</w:t>
      </w:r>
      <w:r>
        <w:rPr>
          <w:i/>
          <w:iCs/>
        </w:rPr>
        <w:t xml:space="preserve"> </w:t>
      </w:r>
      <w:r>
        <w:rPr>
          <w:i/>
          <w:iCs/>
        </w:rPr>
        <w:t xml:space="preserve">sequences</w:t>
      </w:r>
      <w:r>
        <w:t xml:space="preserve">. Las secuencias están separadas por el carácter</w:t>
      </w:r>
      <w:r>
        <w:t xml:space="preserve"> </w:t>
      </w:r>
      <w:r>
        <w:rPr>
          <w:rStyle w:val="VerbatimChar"/>
        </w:rPr>
        <w:t xml:space="preserve">|</w:t>
      </w:r>
      <w:r>
        <w:t xml:space="preserve"> </w:t>
      </w:r>
      <w:r>
        <w:t xml:space="preserve">(barra vertical). La elección coincide si alguna de las secuencias coincide. Intenta hacer coincidir cada una de las secuencias en orden, por lo que:</w:t>
      </w:r>
      <w:bookmarkStart w:id="30" w:name="IDX-CHP-7-0360"/>
      <w:bookmarkEnd w:id="30"/>
    </w:p>
    <w:p>
      <w:pPr>
        <w:pStyle w:val="BodyText"/>
      </w:pPr>
      <w:bookmarkStart w:id="31" w:name="I_programlisting7_d1e5519"/>
      <w:bookmarkEnd w:id="31"/>
    </w:p>
    <w:p>
      <w:pPr>
        <w:pStyle w:val="SourceCode"/>
      </w:pPr>
      <w:r>
        <w:rPr>
          <w:rStyle w:val="VerbatimChar"/>
        </w:rPr>
        <w:t xml:space="preserve">"into".match(/in|int/)</w:t>
      </w:r>
    </w:p>
    <w:p>
      <w:pPr>
        <w:pStyle w:val="FirstParagraph"/>
      </w:pPr>
      <w:r>
        <w:t xml:space="preserve">coincide con</w:t>
      </w:r>
      <w:r>
        <w:t xml:space="preserve"> </w:t>
      </w:r>
      <w:r>
        <w:rPr>
          <w:rStyle w:val="VerbatimChar"/>
        </w:rPr>
        <w:t xml:space="preserve">in</w:t>
      </w:r>
      <w:r>
        <w:t xml:space="preserve"> </w:t>
      </w:r>
      <w:r>
        <w:t xml:space="preserve">en</w:t>
      </w:r>
      <w:r>
        <w:t xml:space="preserve"> </w:t>
      </w:r>
      <w:r>
        <w:rPr>
          <w:rStyle w:val="VerbatimChar"/>
        </w:rPr>
        <w:t xml:space="preserve">into</w:t>
      </w:r>
      <w:r>
        <w:t xml:space="preserve">. No coincidiría con</w:t>
      </w:r>
      <w:r>
        <w:t xml:space="preserve"> </w:t>
      </w:r>
      <w:r>
        <w:rPr>
          <w:rStyle w:val="VerbatimChar"/>
        </w:rPr>
        <w:t xml:space="preserve">int</w:t>
      </w:r>
      <w:r>
        <w:t xml:space="preserve">porque la coincidencia de</w:t>
      </w:r>
      <w:r>
        <w:t xml:space="preserve"> </w:t>
      </w:r>
      <w:r>
        <w:rPr>
          <w:rStyle w:val="VerbatimChar"/>
        </w:rPr>
        <w:t xml:space="preserve">in</w:t>
      </w:r>
      <w:r>
        <w:t xml:space="preserve"> </w:t>
      </w:r>
      <w:r>
        <w:t xml:space="preserve">tuvo éxito.</w:t>
      </w:r>
    </w:p>
    <w:bookmarkStart w:id="33" w:name="secuencia-regexp"/>
    <w:p>
      <w:pPr>
        <w:pStyle w:val="Heading2"/>
      </w:pPr>
      <w:bookmarkStart w:id="32" w:name="regexp_sequence"/>
      <w:bookmarkEnd w:id="32"/>
      <w:r>
        <w:t xml:space="preserve">Secuencia Regexp</w:t>
      </w:r>
    </w:p>
    <w:bookmarkEnd w:id="33"/>
    <w:p>
      <w:pPr>
        <w:pStyle w:val="FirstParagraph"/>
      </w:pPr>
      <w:bookmarkStart w:id="34" w:name="I_mediaobject7_d1e5539"/>
      <w:bookmarkEnd w:id="34"/>
      <w:r>
        <w:drawing>
          <wp:inline>
            <wp:extent cx="4279392" cy="597408"/>
            <wp:effectExtent b="0" l="0" r="0" t="0"/>
            <wp:docPr descr="image with no caption" title="" id="36" name="Picture"/>
            <a:graphic>
              <a:graphicData uri="http://schemas.openxmlformats.org/drawingml/2006/picture">
                <pic:pic>
                  <pic:nvPicPr>
                    <pic:cNvPr descr="httpatomoreillycomsourceoreillyimages238722.png" id="37" name="Picture"/>
                    <pic:cNvPicPr>
                      <a:picLocks noChangeArrowheads="1" noChangeAspect="1"/>
                    </pic:cNvPicPr>
                  </pic:nvPicPr>
                  <pic:blipFill>
                    <a:blip r:embed="rId35"/>
                    <a:stretch>
                      <a:fillRect/>
                    </a:stretch>
                  </pic:blipFill>
                  <pic:spPr bwMode="auto">
                    <a:xfrm>
                      <a:off x="0" y="0"/>
                      <a:ext cx="4279392" cy="597408"/>
                    </a:xfrm>
                    <a:prstGeom prst="rect">
                      <a:avLst/>
                    </a:prstGeom>
                    <a:noFill/>
                    <a:ln w="9525">
                      <a:noFill/>
                      <a:headEnd/>
                      <a:tailEnd/>
                    </a:ln>
                  </pic:spPr>
                </pic:pic>
              </a:graphicData>
            </a:graphic>
          </wp:inline>
        </w:drawing>
      </w:r>
    </w:p>
    <w:p>
      <w:pPr>
        <w:pStyle w:val="BodyText"/>
      </w:pPr>
      <w:r>
        <w:t xml:space="preserve">A</w:t>
      </w:r>
      <w:r>
        <w:t xml:space="preserve"> </w:t>
      </w:r>
      <w:r>
        <w:rPr>
          <w:i/>
          <w:iCs/>
        </w:rPr>
        <w:t xml:space="preserve">regexp sequence</w:t>
      </w:r>
      <w:r>
        <w:t xml:space="preserve"> </w:t>
      </w:r>
      <w:r>
        <w:t xml:space="preserve">contiene una o más secuencias</w:t>
      </w:r>
      <w:r>
        <w:t xml:space="preserve"> </w:t>
      </w:r>
      <w:r>
        <w:rPr>
          <w:i/>
          <w:iCs/>
        </w:rPr>
        <w:t xml:space="preserve">regexp</w:t>
      </w:r>
      <w:r>
        <w:rPr>
          <w:i/>
          <w:iCs/>
        </w:rPr>
        <w:t xml:space="preserve"> </w:t>
      </w:r>
      <w:r>
        <w:rPr>
          <w:i/>
          <w:iCs/>
        </w:rPr>
        <w:t xml:space="preserve">factors</w:t>
      </w:r>
      <w:r>
        <w:t xml:space="preserve">. Cada factor puede ir seguido opcionalmente de un cuantificador que determina cuántas veces se permite que aparezca el factor. Si no hay cuantificador, el factor se comparará una vez.</w:t>
      </w:r>
      <w:bookmarkStart w:id="38" w:name="IDX-CHP-7-0361"/>
      <w:bookmarkEnd w:id="38"/>
    </w:p>
    <w:bookmarkStart w:id="40" w:name="factor-regexp"/>
    <w:p>
      <w:pPr>
        <w:pStyle w:val="Heading2"/>
      </w:pPr>
      <w:bookmarkStart w:id="39" w:name="regexp_factor"/>
      <w:bookmarkEnd w:id="39"/>
      <w:r>
        <w:t xml:space="preserve">Factor Regexp</w:t>
      </w:r>
    </w:p>
    <w:bookmarkEnd w:id="40"/>
    <w:p>
      <w:pPr>
        <w:pStyle w:val="FirstParagraph"/>
      </w:pPr>
      <w:bookmarkStart w:id="41" w:name="I_mediaobject7_d1e5563"/>
      <w:bookmarkEnd w:id="41"/>
      <w:r>
        <w:drawing>
          <wp:inline>
            <wp:extent cx="4279392" cy="1432560"/>
            <wp:effectExtent b="0" l="0" r="0" t="0"/>
            <wp:docPr descr="image with no caption" title="" id="43" name="Picture"/>
            <a:graphic>
              <a:graphicData uri="http://schemas.openxmlformats.org/drawingml/2006/picture">
                <pic:pic>
                  <pic:nvPicPr>
                    <pic:cNvPr descr="httpatomoreillycomsourceoreillyimages238754.png" id="44" name="Picture"/>
                    <pic:cNvPicPr>
                      <a:picLocks noChangeArrowheads="1" noChangeAspect="1"/>
                    </pic:cNvPicPr>
                  </pic:nvPicPr>
                  <pic:blipFill>
                    <a:blip r:embed="rId42"/>
                    <a:stretch>
                      <a:fillRect/>
                    </a:stretch>
                  </pic:blipFill>
                  <pic:spPr bwMode="auto">
                    <a:xfrm>
                      <a:off x="0" y="0"/>
                      <a:ext cx="4279392" cy="1432560"/>
                    </a:xfrm>
                    <a:prstGeom prst="rect">
                      <a:avLst/>
                    </a:prstGeom>
                    <a:noFill/>
                    <a:ln w="9525">
                      <a:noFill/>
                      <a:headEnd/>
                      <a:tailEnd/>
                    </a:ln>
                  </pic:spPr>
                </pic:pic>
              </a:graphicData>
            </a:graphic>
          </wp:inline>
        </w:drawing>
      </w:r>
    </w:p>
    <w:p>
      <w:pPr>
        <w:pStyle w:val="BodyText"/>
      </w:pPr>
      <w:r>
        <w:t xml:space="preserve">A</w:t>
      </w:r>
      <w:r>
        <w:t xml:space="preserve"> </w:t>
      </w:r>
      <w:r>
        <w:rPr>
          <w:i/>
          <w:iCs/>
        </w:rPr>
        <w:t xml:space="preserve">regexp factor</w:t>
      </w:r>
      <w:r>
        <w:t xml:space="preserve"> </w:t>
      </w:r>
      <w:r>
        <w:t xml:space="preserve">puede ser un carácter, un grupo entre paréntesis, una clase de caracteres o una secuencia de escape. Todos los caracteres se tratan literalmente, excepto los caracteres de control y los caracteres especiales:</w:t>
      </w:r>
      <w:bookmarkStart w:id="45" w:name="IDX-CHP-7-0362"/>
      <w:bookmarkEnd w:id="45"/>
      <w:bookmarkStart w:id="46" w:name="IDX-CHP-7-0363"/>
      <w:bookmarkEnd w:id="46"/>
      <w:bookmarkStart w:id="47" w:name="IDX-CHP-7-0364"/>
      <w:bookmarkEnd w:id="47"/>
      <w:bookmarkStart w:id="48" w:name="IDX-CHP-7-0365"/>
      <w:bookmarkEnd w:id="48"/>
      <w:bookmarkStart w:id="49" w:name="IDX-CHP-7-0366"/>
      <w:bookmarkEnd w:id="49"/>
      <w:bookmarkStart w:id="50" w:name="IDX-CHP-7-0367"/>
      <w:bookmarkEnd w:id="50"/>
      <w:bookmarkStart w:id="51" w:name="IDX-CHP-7-0368"/>
      <w:bookmarkEnd w:id="51"/>
      <w:bookmarkStart w:id="52" w:name="IDX-CHP-7-0369"/>
      <w:bookmarkEnd w:id="52"/>
      <w:bookmarkStart w:id="53" w:name="IDX-CHP-7-0370"/>
      <w:bookmarkEnd w:id="53"/>
      <w:bookmarkStart w:id="54" w:name="IDX-CHP-7-0371"/>
      <w:bookmarkEnd w:id="54"/>
      <w:bookmarkStart w:id="55" w:name="IDX-CHP-7-0372"/>
      <w:bookmarkEnd w:id="55"/>
      <w:bookmarkStart w:id="56" w:name="IDX-CHP-7-0373"/>
      <w:bookmarkEnd w:id="56"/>
      <w:bookmarkStart w:id="57" w:name="IDX-CHP-7-0374"/>
      <w:bookmarkEnd w:id="57"/>
      <w:bookmarkStart w:id="58" w:name="IDX-CHP-7-0375"/>
      <w:bookmarkEnd w:id="58"/>
      <w:bookmarkStart w:id="59" w:name="IDX-CHP-7-0376"/>
      <w:bookmarkEnd w:id="59"/>
      <w:bookmarkStart w:id="60" w:name="IDX-CHP-7-0377"/>
      <w:bookmarkEnd w:id="60"/>
    </w:p>
    <w:p>
      <w:pPr>
        <w:pStyle w:val="BodyText"/>
      </w:pPr>
      <w:bookmarkStart w:id="61" w:name="I_programlisting7_d1e5658"/>
      <w:bookmarkEnd w:id="61"/>
    </w:p>
    <w:p>
      <w:pPr>
        <w:pStyle w:val="SourceCode"/>
      </w:pPr>
      <w:r>
        <w:rPr>
          <w:rStyle w:val="VerbatimChar"/>
        </w:rPr>
        <w:t xml:space="preserve">\ / [ ] ( ) { } ? + * | . ^ $</w:t>
      </w:r>
    </w:p>
    <w:p>
      <w:pPr>
        <w:pStyle w:val="FirstParagraph"/>
      </w:pPr>
      <w:r>
        <w:t xml:space="preserve">que deben escaparse con un prefijo</w:t>
      </w:r>
      <w:r>
        <w:t xml:space="preserve"> </w:t>
      </w:r>
      <w:r>
        <w:rPr>
          <w:rStyle w:val="VerbatimChar"/>
        </w:rPr>
        <w:t xml:space="preserve">\</w:t>
      </w:r>
      <w:r>
        <w:t xml:space="preserve"> </w:t>
      </w:r>
      <w:r>
        <w:t xml:space="preserve">si se quiere que coincidan literalmente. En caso de duda, cualquier carácter especial puede recibir un prefijo</w:t>
      </w:r>
      <w:r>
        <w:t xml:space="preserve"> </w:t>
      </w:r>
      <w:r>
        <w:rPr>
          <w:rStyle w:val="VerbatimChar"/>
        </w:rPr>
        <w:t xml:space="preserve">\</w:t>
      </w:r>
      <w:r>
        <w:t xml:space="preserve"> </w:t>
      </w:r>
      <w:r>
        <w:t xml:space="preserve">para hacerlo literal. El prefijo</w:t>
      </w:r>
      <w:r>
        <w:t xml:space="preserve"> </w:t>
      </w:r>
      <w:r>
        <w:rPr>
          <w:rStyle w:val="VerbatimChar"/>
        </w:rPr>
        <w:t xml:space="preserve">\</w:t>
      </w:r>
      <w:r>
        <w:t xml:space="preserve"> </w:t>
      </w:r>
      <w:r>
        <w:rPr>
          <w:i/>
          <w:iCs/>
        </w:rPr>
        <w:t xml:space="preserve">does not</w:t>
      </w:r>
      <w:r>
        <w:t xml:space="preserve"> </w:t>
      </w:r>
      <w:r>
        <w:t xml:space="preserve">hace que las letras o los dígitos sean literales.</w:t>
      </w:r>
    </w:p>
    <w:p>
      <w:pPr>
        <w:pStyle w:val="BodyText"/>
      </w:pPr>
      <w:r>
        <w:t xml:space="preserve">Un</w:t>
      </w:r>
      <w:r>
        <w:t xml:space="preserve"> </w:t>
      </w:r>
      <w:r>
        <w:rPr>
          <w:rStyle w:val="VerbatimChar"/>
        </w:rPr>
        <w:t xml:space="preserve">.</w:t>
      </w:r>
      <w:r>
        <w:t xml:space="preserve"> </w:t>
      </w:r>
      <w:r>
        <w:t xml:space="preserve">sin mayúsculas coincide con cualquier carácter excepto con un carácter de final de línea.</w:t>
      </w:r>
    </w:p>
    <w:p>
      <w:pPr>
        <w:pStyle w:val="BodyText"/>
      </w:pPr>
      <w:r>
        <w:t xml:space="preserve">Un</w:t>
      </w:r>
      <w:r>
        <w:t xml:space="preserve"> </w:t>
      </w:r>
      <w:r>
        <w:rPr>
          <w:rStyle w:val="VerbatimChar"/>
        </w:rPr>
        <w:t xml:space="preserve">^</w:t>
      </w:r>
      <w:r>
        <w:t xml:space="preserve"> </w:t>
      </w:r>
      <w:r>
        <w:t xml:space="preserve">sin esconder coincide con el principio del texto cuando la propiedad</w:t>
      </w:r>
      <w:r>
        <w:t xml:space="preserve"> </w:t>
      </w:r>
      <w:r>
        <w:rPr>
          <w:rStyle w:val="VerbatimChar"/>
        </w:rPr>
        <w:t xml:space="preserve">lastIndex</w:t>
      </w:r>
      <w:r>
        <w:t xml:space="preserve"> </w:t>
      </w:r>
      <w:r>
        <w:t xml:space="preserve">es cero. También puede coincidir con caracteres de final de línea si se especifica la bandera</w:t>
      </w:r>
      <w:r>
        <w:t xml:space="preserve"> </w:t>
      </w:r>
      <w:r>
        <w:rPr>
          <w:rStyle w:val="VerbatimChar"/>
        </w:rPr>
        <w:t xml:space="preserve">m</w:t>
      </w:r>
      <w:r>
        <w:t xml:space="preserve">.</w:t>
      </w:r>
    </w:p>
    <w:p>
      <w:pPr>
        <w:pStyle w:val="BodyText"/>
      </w:pPr>
      <w:r>
        <w:t xml:space="preserve">Un</w:t>
      </w:r>
      <w:r>
        <w:t xml:space="preserve"> </w:t>
      </w:r>
      <w:r>
        <w:rPr>
          <w:rStyle w:val="VerbatimChar"/>
        </w:rPr>
        <w:t xml:space="preserve">$</w:t>
      </w:r>
      <w:r>
        <w:t xml:space="preserve"> </w:t>
      </w:r>
      <w:r>
        <w:t xml:space="preserve">sin mayúsculas coincide con el final del texto. También puede coincidir con caracteres de final de línea si se especifica la opción</w:t>
      </w:r>
      <w:r>
        <w:t xml:space="preserve"> </w:t>
      </w:r>
      <w:r>
        <w:rPr>
          <w:rStyle w:val="VerbatimChar"/>
        </w:rPr>
        <w:t xml:space="preserve">m</w:t>
      </w:r>
      <w:r>
        <w:t xml:space="preserve">.</w:t>
      </w:r>
    </w:p>
    <w:bookmarkStart w:id="63" w:name="escape-regexp"/>
    <w:p>
      <w:pPr>
        <w:pStyle w:val="Heading2"/>
      </w:pPr>
      <w:bookmarkStart w:id="62" w:name="regexp_escape"/>
      <w:bookmarkEnd w:id="62"/>
      <w:r>
        <w:t xml:space="preserve">Escape Regexp</w:t>
      </w:r>
    </w:p>
    <w:bookmarkEnd w:id="63"/>
    <w:p>
      <w:pPr>
        <w:pStyle w:val="FirstParagraph"/>
      </w:pPr>
      <w:bookmarkStart w:id="64" w:name="I_mediaobject7_d1e5702"/>
      <w:bookmarkEnd w:id="64"/>
      <w:r>
        <w:drawing>
          <wp:inline>
            <wp:extent cx="4303776" cy="2286000"/>
            <wp:effectExtent b="0" l="0" r="0" t="0"/>
            <wp:docPr descr="image with no caption" title="" id="66" name="Picture"/>
            <a:graphic>
              <a:graphicData uri="http://schemas.openxmlformats.org/drawingml/2006/picture">
                <pic:pic>
                  <pic:nvPicPr>
                    <pic:cNvPr descr="httpatomoreillycomsourceoreillyimages238782.png" id="67" name="Picture"/>
                    <pic:cNvPicPr>
                      <a:picLocks noChangeArrowheads="1" noChangeAspect="1"/>
                    </pic:cNvPicPr>
                  </pic:nvPicPr>
                  <pic:blipFill>
                    <a:blip r:embed="rId65"/>
                    <a:stretch>
                      <a:fillRect/>
                    </a:stretch>
                  </pic:blipFill>
                  <pic:spPr bwMode="auto">
                    <a:xfrm>
                      <a:off x="0" y="0"/>
                      <a:ext cx="4303776" cy="2286000"/>
                    </a:xfrm>
                    <a:prstGeom prst="rect">
                      <a:avLst/>
                    </a:prstGeom>
                    <a:noFill/>
                    <a:ln w="9525">
                      <a:noFill/>
                      <a:headEnd/>
                      <a:tailEnd/>
                    </a:ln>
                  </pic:spPr>
                </pic:pic>
              </a:graphicData>
            </a:graphic>
          </wp:inline>
        </w:drawing>
      </w:r>
    </w:p>
    <w:p>
      <w:pPr>
        <w:pStyle w:val="BodyText"/>
      </w:pPr>
      <w:r>
        <w:t xml:space="preserve">El carácter barra invertida indica escape tanto en los factores regexp como en las cadenas, pero en los factores regexp funciona de forma un poco diferente.</w:t>
      </w:r>
      <w:bookmarkStart w:id="68" w:name="IDX-CHP-7-0378"/>
      <w:bookmarkEnd w:id="68"/>
    </w:p>
    <w:p>
      <w:pPr>
        <w:pStyle w:val="BodyText"/>
      </w:pPr>
      <w:r>
        <w:t xml:space="preserve">Como en las cadenas,</w:t>
      </w:r>
      <w:r>
        <w:t xml:space="preserve"> </w:t>
      </w:r>
      <w:r>
        <w:rPr>
          <w:rStyle w:val="VerbatimChar"/>
        </w:rPr>
        <w:t xml:space="preserve">\f</w:t>
      </w:r>
      <w:r>
        <w:t xml:space="preserve"> </w:t>
      </w:r>
      <w:r>
        <w:t xml:space="preserve">es el carácter de salto de línea,</w:t>
      </w:r>
      <w:r>
        <w:t xml:space="preserve"> </w:t>
      </w:r>
      <w:r>
        <w:rPr>
          <w:rStyle w:val="VerbatimChar"/>
        </w:rPr>
        <w:t xml:space="preserve">\n</w:t>
      </w:r>
      <w:r>
        <w:t xml:space="preserve"> </w:t>
      </w:r>
      <w:r>
        <w:t xml:space="preserve">es el carácter de nueva línea,</w:t>
      </w:r>
      <w:r>
        <w:t xml:space="preserve"> </w:t>
      </w:r>
      <w:r>
        <w:rPr>
          <w:rStyle w:val="VerbatimChar"/>
        </w:rPr>
        <w:t xml:space="preserve">\r</w:t>
      </w:r>
      <w:r>
        <w:t xml:space="preserve"> </w:t>
      </w:r>
      <w:r>
        <w:t xml:space="preserve">es el carácter de retorno de carro,</w:t>
      </w:r>
      <w:r>
        <w:t xml:space="preserve"> </w:t>
      </w:r>
      <w:r>
        <w:rPr>
          <w:rStyle w:val="VerbatimChar"/>
        </w:rPr>
        <w:t xml:space="preserve">\t</w:t>
      </w:r>
      <w:r>
        <w:t xml:space="preserve"> </w:t>
      </w:r>
      <w:r>
        <w:t xml:space="preserve">es el carácter de tabulación y</w:t>
      </w:r>
      <w:r>
        <w:t xml:space="preserve"> </w:t>
      </w:r>
      <w:r>
        <w:rPr>
          <w:rStyle w:val="VerbatimChar"/>
        </w:rPr>
        <w:t xml:space="preserve">\u</w:t>
      </w:r>
      <w:r>
        <w:t xml:space="preserve"> </w:t>
      </w:r>
      <w:r>
        <w:t xml:space="preserve">permite especificar un carácter Unicode como una constante hexadecimal de 16 bits. En los factores regexp,</w:t>
      </w:r>
      <w:r>
        <w:t xml:space="preserve"> </w:t>
      </w:r>
      <w:r>
        <w:rPr>
          <w:rStyle w:val="VerbatimChar"/>
        </w:rPr>
        <w:t xml:space="preserve">\b</w:t>
      </w:r>
      <w:r>
        <w:rPr>
          <w:i/>
          <w:iCs/>
        </w:rPr>
        <w:t xml:space="preserve">is not</w:t>
      </w:r>
      <w:r>
        <w:t xml:space="preserve"> </w:t>
      </w:r>
      <w:r>
        <w:t xml:space="preserve">es el carácter de retroceso.</w:t>
      </w:r>
      <w:bookmarkStart w:id="69" w:name="IDX-CHP-7-0379"/>
      <w:bookmarkEnd w:id="69"/>
      <w:bookmarkStart w:id="70" w:name="IDX-CHP-7-0380"/>
      <w:bookmarkEnd w:id="70"/>
      <w:bookmarkStart w:id="71" w:name="IDX-CHP-7-0381"/>
      <w:bookmarkEnd w:id="71"/>
      <w:bookmarkStart w:id="72" w:name="IDX-CHP-7-0382"/>
      <w:bookmarkEnd w:id="72"/>
    </w:p>
    <w:p>
      <w:pPr>
        <w:pStyle w:val="BodyText"/>
      </w:pPr>
      <w:r>
        <w:rPr>
          <w:rStyle w:val="VerbatimChar"/>
        </w:rPr>
        <w:t xml:space="preserve">\d</w:t>
      </w:r>
      <w:r>
        <w:t xml:space="preserve"> </w:t>
      </w:r>
      <w:r>
        <w:t xml:space="preserve">es igual que</w:t>
      </w:r>
      <w:r>
        <w:t xml:space="preserve"> </w:t>
      </w:r>
      <w:r>
        <w:rPr>
          <w:rStyle w:val="VerbatimChar"/>
        </w:rPr>
        <w:t xml:space="preserve">[0-9]</w:t>
      </w:r>
      <w:r>
        <w:t xml:space="preserve">. Coincide con un dígito.</w:t>
      </w:r>
      <w:r>
        <w:t xml:space="preserve"> </w:t>
      </w:r>
      <w:r>
        <w:rPr>
          <w:rStyle w:val="VerbatimChar"/>
        </w:rPr>
        <w:t xml:space="preserve">\D</w:t>
      </w:r>
      <w:r>
        <w:t xml:space="preserve"> </w:t>
      </w:r>
      <w:r>
        <w:t xml:space="preserve">es lo contrario:</w:t>
      </w:r>
      <w:r>
        <w:t xml:space="preserve"> </w:t>
      </w:r>
      <w:r>
        <w:rPr>
          <w:rStyle w:val="VerbatimChar"/>
        </w:rPr>
        <w:t xml:space="preserve">[^0-9]</w:t>
      </w:r>
      <w:r>
        <w:t xml:space="preserve">.</w:t>
      </w:r>
    </w:p>
    <w:p>
      <w:pPr>
        <w:pStyle w:val="BodyText"/>
      </w:pPr>
      <w:r>
        <w:rPr>
          <w:rStyle w:val="VerbatimChar"/>
        </w:rPr>
        <w:t xml:space="preserve">\s</w:t>
      </w:r>
      <w:r>
        <w:t xml:space="preserve"> </w:t>
      </w:r>
      <w:r>
        <w:t xml:space="preserve">es lo mismo que</w:t>
      </w:r>
      <w:r>
        <w:t xml:space="preserve"> </w:t>
      </w:r>
      <w:r>
        <w:rPr>
          <w:rStyle w:val="VerbatimChar"/>
        </w:rPr>
        <w:t xml:space="preserve">[\f\n\r\t\u000B\u0020\u00A0\u2028\u2029]</w:t>
      </w:r>
      <w:r>
        <w:t xml:space="preserve">. Es un conjunto parcial de caracteres Unicode de espacio en blanco.</w:t>
      </w:r>
      <w:r>
        <w:t xml:space="preserve"> </w:t>
      </w:r>
      <w:r>
        <w:rPr>
          <w:rStyle w:val="VerbatimChar"/>
        </w:rPr>
        <w:t xml:space="preserve">\S</w:t>
      </w:r>
      <w:r>
        <w:t xml:space="preserve"> </w:t>
      </w:r>
      <w:r>
        <w:t xml:space="preserve">es lo contrario:</w:t>
      </w:r>
      <w:r>
        <w:t xml:space="preserve"> </w:t>
      </w:r>
      <w:r>
        <w:rPr>
          <w:rStyle w:val="VerbatimChar"/>
        </w:rPr>
        <w:t xml:space="preserve">[^\f\n\r\t\u000B\u0020\u00A0\u2028\u2029]</w:t>
      </w:r>
      <w:r>
        <w:t xml:space="preserve">.</w:t>
      </w:r>
    </w:p>
    <w:p>
      <w:pPr>
        <w:pStyle w:val="BodyText"/>
      </w:pPr>
      <w:r>
        <w:rPr>
          <w:rStyle w:val="VerbatimChar"/>
        </w:rPr>
        <w:t xml:space="preserve">\w</w:t>
      </w:r>
      <w:r>
        <w:t xml:space="preserve"> </w:t>
      </w:r>
      <w:r>
        <w:t xml:space="preserve">es lo mismo que</w:t>
      </w:r>
      <w:r>
        <w:t xml:space="preserve"> </w:t>
      </w:r>
      <w:r>
        <w:rPr>
          <w:rStyle w:val="VerbatimChar"/>
        </w:rPr>
        <w:t xml:space="preserve">[0-9A-Z_a-z]</w:t>
      </w:r>
      <w:r>
        <w:t xml:space="preserve">.</w:t>
      </w:r>
      <w:r>
        <w:t xml:space="preserve"> </w:t>
      </w:r>
      <w:r>
        <w:rPr>
          <w:rStyle w:val="VerbatimChar"/>
        </w:rPr>
        <w:t xml:space="preserve">\W</w:t>
      </w:r>
      <w:r>
        <w:t xml:space="preserve"> </w:t>
      </w:r>
      <w:r>
        <w:t xml:space="preserve">es lo contrario:</w:t>
      </w:r>
      <w:r>
        <w:t xml:space="preserve"> </w:t>
      </w:r>
      <w:r>
        <w:rPr>
          <w:rStyle w:val="VerbatimChar"/>
        </w:rPr>
        <w:t xml:space="preserve">[^0-9A-Z_a-z]</w:t>
      </w:r>
      <w:r>
        <w:t xml:space="preserve">. Se supone que representa los caracteres que aparecen en las palabras. Por desgracia, la clase que define es inútil para trabajar con prácticamente cualquier lenguaje real. Si necesitas emparejar una clase de letras, debes especificar tu propia clase.</w:t>
      </w:r>
    </w:p>
    <w:p>
      <w:pPr>
        <w:pStyle w:val="BodyText"/>
      </w:pPr>
      <w:r>
        <w:t xml:space="preserve">Una clase de letra sencilla es</w:t>
      </w:r>
      <w:r>
        <w:t xml:space="preserve"> </w:t>
      </w:r>
      <w:r>
        <w:rPr>
          <w:rStyle w:val="VerbatimChar"/>
        </w:rPr>
        <w:t xml:space="preserve">[A-Za-z\u00C0-\u1FFF\u2800-\uFFFD]</w:t>
      </w:r>
      <w:r>
        <w:t xml:space="preserve">. Incluye todas las letras de Unicode, pero también miles de caracteres que no son letras. Unicode es grande y complejo. Una clase de letras exacta del Plano Básico Multilingüe es posible, pero sería enorme e ineficaz. Las expresiones regulares de JavaScript proporcionan un soporte extremadamente pobre para la internacionalización.</w:t>
      </w:r>
      <w:bookmarkStart w:id="73" w:name="IDX-CHP-7-0383"/>
      <w:bookmarkEnd w:id="73"/>
    </w:p>
    <w:p>
      <w:pPr>
        <w:pStyle w:val="BodyText"/>
      </w:pPr>
      <w:r>
        <w:rPr>
          <w:rStyle w:val="VerbatimChar"/>
        </w:rPr>
        <w:t xml:space="preserve">\b</w:t>
      </w:r>
      <w:r>
        <w:t xml:space="preserve"> </w:t>
      </w:r>
      <w:r>
        <w:t xml:space="preserve">pretendía ser un anclaje de límites de palabras que facilitara la búsqueda de coincidencias de texto en los límites de las palabras. Por desgracia, utiliza</w:t>
      </w:r>
      <w:r>
        <w:t xml:space="preserve"> </w:t>
      </w:r>
      <w:r>
        <w:rPr>
          <w:rStyle w:val="VerbatimChar"/>
        </w:rPr>
        <w:t xml:space="preserve">\w</w:t>
      </w:r>
      <w:r>
        <w:t xml:space="preserve"> </w:t>
      </w:r>
      <w:r>
        <w:t xml:space="preserve">para encontrar los límites de las palabras, por lo que es completamente inútil para las aplicaciones multilingües. Esta parte no es buena.</w:t>
      </w:r>
    </w:p>
    <w:p>
      <w:pPr>
        <w:pStyle w:val="BodyText"/>
      </w:pPr>
      <w:r>
        <w:rPr>
          <w:rStyle w:val="VerbatimChar"/>
        </w:rPr>
        <w:t xml:space="preserve">\1</w:t>
      </w:r>
      <w:r>
        <w:t xml:space="preserve"> </w:t>
      </w:r>
      <w:r>
        <w:t xml:space="preserve">es una referencia al texto que fue capturado por el grupo 1, de modo que se pueda cotejar de nuevo. Por ejemplo, podrías buscar palabras duplicadas en el texto con:</w:t>
      </w:r>
    </w:p>
    <w:p>
      <w:pPr>
        <w:pStyle w:val="BodyText"/>
      </w:pPr>
      <w:bookmarkStart w:id="74" w:name="I_programlisting7_d1e5816"/>
      <w:bookmarkEnd w:id="74"/>
    </w:p>
    <w:p>
      <w:pPr>
        <w:pStyle w:val="SourceCode"/>
      </w:pPr>
      <w:r>
        <w:rPr>
          <w:rStyle w:val="VerbatimChar"/>
        </w:rPr>
        <w:t xml:space="preserve">var doubled_words = /([A-Za-z\u00C0-\u1FFF\u2800-\uFFFD]+)\s+\1/gi;</w:t>
      </w:r>
    </w:p>
    <w:p>
      <w:pPr>
        <w:pStyle w:val="FirstParagraph"/>
      </w:pPr>
      <w:r>
        <w:rPr>
          <w:rStyle w:val="VerbatimChar"/>
        </w:rPr>
        <w:t xml:space="preserve">doubled_words</w:t>
      </w:r>
      <w:r>
        <w:t xml:space="preserve"> </w:t>
      </w:r>
      <w:r>
        <w:t xml:space="preserve">busca apariciones de palabras (cadenas que contienen 1 o más letras) seguidas de espacios en blanco seguidos de la misma palabra.</w:t>
      </w:r>
    </w:p>
    <w:p>
      <w:pPr>
        <w:pStyle w:val="BodyText"/>
      </w:pPr>
      <w:r>
        <w:rPr>
          <w:rStyle w:val="VerbatimChar"/>
        </w:rPr>
        <w:t xml:space="preserve">\2</w:t>
      </w:r>
      <w:r>
        <w:t xml:space="preserve"> </w:t>
      </w:r>
      <w:r>
        <w:t xml:space="preserve">es una referencia al grupo 2,</w:t>
      </w:r>
      <w:r>
        <w:t xml:space="preserve"> </w:t>
      </w:r>
      <w:r>
        <w:rPr>
          <w:rStyle w:val="VerbatimChar"/>
        </w:rPr>
        <w:t xml:space="preserve">\3</w:t>
      </w:r>
      <w:r>
        <w:t xml:space="preserve"> </w:t>
      </w:r>
      <w:r>
        <w:t xml:space="preserve">es una referencia al grupo 3, y así sucesivamente.</w:t>
      </w:r>
    </w:p>
    <w:bookmarkStart w:id="76" w:name="grupo-regexp"/>
    <w:p>
      <w:pPr>
        <w:pStyle w:val="Heading2"/>
      </w:pPr>
      <w:bookmarkStart w:id="75" w:name="regexp_group"/>
      <w:bookmarkEnd w:id="75"/>
      <w:r>
        <w:t xml:space="preserve">Grupo Regexp</w:t>
      </w:r>
    </w:p>
    <w:bookmarkEnd w:id="76"/>
    <w:p>
      <w:pPr>
        <w:pStyle w:val="FirstParagraph"/>
      </w:pPr>
      <w:bookmarkStart w:id="77" w:name="I_mediaobject7_d1e5834"/>
      <w:bookmarkEnd w:id="77"/>
      <w:r>
        <w:drawing>
          <wp:inline>
            <wp:extent cx="4267200" cy="1255776"/>
            <wp:effectExtent b="0" l="0" r="0" t="0"/>
            <wp:docPr descr="image with no caption" title="" id="79" name="Picture"/>
            <a:graphic>
              <a:graphicData uri="http://schemas.openxmlformats.org/drawingml/2006/picture">
                <pic:pic>
                  <pic:nvPicPr>
                    <pic:cNvPr descr="httpatomoreillycomsourceoreillyimages238708.png" id="80" name="Picture"/>
                    <pic:cNvPicPr>
                      <a:picLocks noChangeArrowheads="1" noChangeAspect="1"/>
                    </pic:cNvPicPr>
                  </pic:nvPicPr>
                  <pic:blipFill>
                    <a:blip r:embed="rId78"/>
                    <a:stretch>
                      <a:fillRect/>
                    </a:stretch>
                  </pic:blipFill>
                  <pic:spPr bwMode="auto">
                    <a:xfrm>
                      <a:off x="0" y="0"/>
                      <a:ext cx="4267200" cy="1255776"/>
                    </a:xfrm>
                    <a:prstGeom prst="rect">
                      <a:avLst/>
                    </a:prstGeom>
                    <a:noFill/>
                    <a:ln w="9525">
                      <a:noFill/>
                      <a:headEnd/>
                      <a:tailEnd/>
                    </a:ln>
                  </pic:spPr>
                </pic:pic>
              </a:graphicData>
            </a:graphic>
          </wp:inline>
        </w:drawing>
      </w:r>
    </w:p>
    <w:p>
      <w:pPr>
        <w:pStyle w:val="BodyText"/>
      </w:pPr>
      <w:r>
        <w:t xml:space="preserve">Hay cuatro tipos de grupos:</w:t>
      </w:r>
      <w:bookmarkStart w:id="81" w:name="IDX-CHP-7-0384"/>
      <w:bookmarkEnd w:id="81"/>
      <w:bookmarkStart w:id="82" w:name="IDX-CHP-7-0385"/>
      <w:bookmarkEnd w:id="82"/>
      <w:bookmarkStart w:id="83" w:name="IDX-CHP-7-0386"/>
      <w:bookmarkEnd w:id="83"/>
    </w:p>
    <w:p>
      <w:pPr>
        <w:pStyle w:val="DefinitionTerm"/>
      </w:pPr>
      <w:r>
        <w:t xml:space="preserve"> </w:t>
      </w:r>
      <w:r>
        <w:rPr>
          <w:i/>
          <w:iCs/>
        </w:rPr>
        <w:t xml:space="preserve">Capturing</w:t>
      </w:r>
      <w:r>
        <w:t xml:space="preserve"> </w:t>
      </w:r>
    </w:p>
    <w:p>
      <w:pPr>
        <w:pStyle w:val="Definition"/>
      </w:pPr>
      <w:r>
        <w:t xml:space="preserve">Un grupo de captura es una elección regexp envuelta entre paréntesis. Los caracteres que coincidan con el grupo serán capturados. A cada grupo de captura se le asigna un número. La primera captura</w:t>
      </w:r>
      <w:r>
        <w:t xml:space="preserve"> </w:t>
      </w:r>
      <w:r>
        <w:rPr>
          <w:rStyle w:val="VerbatimChar"/>
        </w:rPr>
        <w:t xml:space="preserve">(</w:t>
      </w:r>
      <w:r>
        <w:t xml:space="preserve"> </w:t>
      </w:r>
      <w:r>
        <w:t xml:space="preserve">de la expresión regular es el grupo 1. El segundo</w:t>
      </w:r>
      <w:r>
        <w:t xml:space="preserve"> </w:t>
      </w:r>
      <w:r>
        <w:rPr>
          <w:rStyle w:val="VerbatimChar"/>
        </w:rPr>
        <w:t xml:space="preserve">(</w:t>
      </w:r>
      <w:r>
        <w:t xml:space="preserve"> </w:t>
      </w:r>
      <w:r>
        <w:t xml:space="preserve">capturador de la expresión regular es el grupo 2.</w:t>
      </w:r>
      <w:bookmarkStart w:id="84" w:name="IDX-CHP-7-0387"/>
      <w:bookmarkEnd w:id="84"/>
    </w:p>
    <w:p>
      <w:pPr>
        <w:pStyle w:val="DefinitionTerm"/>
      </w:pPr>
      <w:r>
        <w:t xml:space="preserve"> </w:t>
      </w:r>
      <w:r>
        <w:rPr>
          <w:i/>
          <w:iCs/>
        </w:rPr>
        <w:t xml:space="preserve">Noncapturing</w:t>
      </w:r>
      <w:r>
        <w:t xml:space="preserve"> </w:t>
      </w:r>
    </w:p>
    <w:p>
      <w:pPr>
        <w:pStyle w:val="Definition"/>
      </w:pPr>
      <w:r>
        <w:t xml:space="preserve">Un grupo de no captura tiene un prefijo</w:t>
      </w:r>
      <w:r>
        <w:t xml:space="preserve"> </w:t>
      </w:r>
      <w:r>
        <w:rPr>
          <w:rStyle w:val="VerbatimChar"/>
        </w:rPr>
        <w:t xml:space="preserve">(?:</w:t>
      </w:r>
      <w:r>
        <w:t xml:space="preserve">. Un grupo no capturador simplemente coincide; no captura el texto coincidente. Los grupos no capturadores no interfieren con la numeración de los grupos capturadores.</w:t>
      </w:r>
      <w:bookmarkStart w:id="85" w:name="IDX-CHP-7-0388"/>
      <w:bookmarkEnd w:id="85"/>
    </w:p>
    <w:p>
      <w:pPr>
        <w:pStyle w:val="DefinitionTerm"/>
      </w:pPr>
      <w:r>
        <w:t xml:space="preserve"> </w:t>
      </w:r>
      <w:r>
        <w:rPr>
          <w:i/>
          <w:iCs/>
        </w:rPr>
        <w:t xml:space="preserve">Positive lookahead</w:t>
      </w:r>
      <w:r>
        <w:t xml:space="preserve"> </w:t>
      </w:r>
    </w:p>
    <w:p>
      <w:pPr>
        <w:pStyle w:val="Definition"/>
      </w:pPr>
      <w:r>
        <w:t xml:space="preserve">Un grupo de búsqueda positiva tiene un prefijo</w:t>
      </w:r>
      <w:r>
        <w:t xml:space="preserve"> </w:t>
      </w:r>
      <w:r>
        <w:rPr>
          <w:rStyle w:val="VerbatimChar"/>
        </w:rPr>
        <w:t xml:space="preserve">(?=</w:t>
      </w:r>
      <w:r>
        <w:t xml:space="preserve">. Es como un grupo de no captura, excepto en que después de que el grupo coincida, el texto se rebobina hasta donde empezó el grupo, sin que coincida nada. Esta parte no es buena.</w:t>
      </w:r>
      <w:bookmarkStart w:id="86" w:name="IDX-CHP-7-0389"/>
      <w:bookmarkEnd w:id="86"/>
    </w:p>
    <w:p>
      <w:pPr>
        <w:pStyle w:val="DefinitionTerm"/>
      </w:pPr>
      <w:r>
        <w:t xml:space="preserve"> </w:t>
      </w:r>
      <w:r>
        <w:rPr>
          <w:i/>
          <w:iCs/>
        </w:rPr>
        <w:t xml:space="preserve">Negative lookahead</w:t>
      </w:r>
      <w:r>
        <w:t xml:space="preserve"> </w:t>
      </w:r>
    </w:p>
    <w:p>
      <w:pPr>
        <w:pStyle w:val="Definition"/>
      </w:pPr>
      <w:r>
        <w:t xml:space="preserve">Un grupo de búsqueda negativa tiene un prefijo</w:t>
      </w:r>
      <w:r>
        <w:t xml:space="preserve"> </w:t>
      </w:r>
      <w:r>
        <w:rPr>
          <w:rStyle w:val="VerbatimChar"/>
        </w:rPr>
        <w:t xml:space="preserve">(?!</w:t>
      </w:r>
      <w:r>
        <w:t xml:space="preserve">. Es como un grupo de búsqueda positiva, salvo que sólo coincide si no coincide. Esta parte no es buena.</w:t>
      </w:r>
      <w:bookmarkStart w:id="87" w:name="IDX-CHP-7-0390"/>
      <w:bookmarkEnd w:id="87"/>
    </w:p>
    <w:bookmarkStart w:id="89" w:name="clase-regexp"/>
    <w:p>
      <w:pPr>
        <w:pStyle w:val="Heading2"/>
      </w:pPr>
      <w:bookmarkStart w:id="88" w:name="regexp_class"/>
      <w:bookmarkEnd w:id="88"/>
      <w:r>
        <w:t xml:space="preserve">Clase Regexp</w:t>
      </w:r>
    </w:p>
    <w:bookmarkEnd w:id="89"/>
    <w:p>
      <w:pPr>
        <w:pStyle w:val="FirstParagraph"/>
      </w:pPr>
      <w:bookmarkStart w:id="90" w:name="I_mediaobject7_d1e5926"/>
      <w:bookmarkEnd w:id="90"/>
      <w:r>
        <w:drawing>
          <wp:inline>
            <wp:extent cx="4267200" cy="1030224"/>
            <wp:effectExtent b="0" l="0" r="0" t="0"/>
            <wp:docPr descr="image with no caption" title="" id="92" name="Picture"/>
            <a:graphic>
              <a:graphicData uri="http://schemas.openxmlformats.org/drawingml/2006/picture">
                <pic:pic>
                  <pic:nvPicPr>
                    <pic:cNvPr descr="httpatomoreillycomsourceoreillyimages238834.png" id="93" name="Picture"/>
                    <pic:cNvPicPr>
                      <a:picLocks noChangeArrowheads="1" noChangeAspect="1"/>
                    </pic:cNvPicPr>
                  </pic:nvPicPr>
                  <pic:blipFill>
                    <a:blip r:embed="rId91"/>
                    <a:stretch>
                      <a:fillRect/>
                    </a:stretch>
                  </pic:blipFill>
                  <pic:spPr bwMode="auto">
                    <a:xfrm>
                      <a:off x="0" y="0"/>
                      <a:ext cx="4267200" cy="1030224"/>
                    </a:xfrm>
                    <a:prstGeom prst="rect">
                      <a:avLst/>
                    </a:prstGeom>
                    <a:noFill/>
                    <a:ln w="9525">
                      <a:noFill/>
                      <a:headEnd/>
                      <a:tailEnd/>
                    </a:ln>
                  </pic:spPr>
                </pic:pic>
              </a:graphicData>
            </a:graphic>
          </wp:inline>
        </w:drawing>
      </w:r>
    </w:p>
    <w:p>
      <w:pPr>
        <w:pStyle w:val="BodyText"/>
      </w:pPr>
      <w:r>
        <w:t xml:space="preserve">A</w:t>
      </w:r>
      <w:r>
        <w:t xml:space="preserve"> </w:t>
      </w:r>
      <w:r>
        <w:rPr>
          <w:i/>
          <w:iCs/>
        </w:rPr>
        <w:t xml:space="preserve">regexp class</w:t>
      </w:r>
      <w:r>
        <w:t xml:space="preserve"> </w:t>
      </w:r>
      <w:r>
        <w:t xml:space="preserve">es una forma cómoda de especificar uno de un conjunto de caracteres. Por ejemplo, si quisiéramos que coincidiera con una vocal, podríamos escribir</w:t>
      </w:r>
      <w:r>
        <w:t xml:space="preserve"> </w:t>
      </w:r>
      <w:r>
        <w:rPr>
          <w:rStyle w:val="VerbatimChar"/>
        </w:rPr>
        <w:t xml:space="preserve">(?:a|e|i|o|u)</w:t>
      </w:r>
      <w:r>
        <w:t xml:space="preserve">, pero es más cómodo escribirlo como la clase</w:t>
      </w:r>
      <w:r>
        <w:t xml:space="preserve"> </w:t>
      </w:r>
      <w:r>
        <w:rPr>
          <w:rStyle w:val="VerbatimChar"/>
        </w:rPr>
        <w:t xml:space="preserve">[aeiou]</w:t>
      </w:r>
      <w:r>
        <w:t xml:space="preserve">.</w:t>
      </w:r>
      <w:bookmarkStart w:id="94" w:name="IDX-CHP-7-0391"/>
      <w:bookmarkEnd w:id="94"/>
      <w:bookmarkStart w:id="95" w:name="IDX-CHP-7-0392"/>
      <w:bookmarkEnd w:id="95"/>
      <w:bookmarkStart w:id="96" w:name="IDX-CHP-7-0393"/>
      <w:bookmarkEnd w:id="96"/>
      <w:bookmarkStart w:id="97" w:name="IDX-CHP-7-0394"/>
      <w:bookmarkEnd w:id="97"/>
    </w:p>
    <w:p>
      <w:pPr>
        <w:pStyle w:val="BodyText"/>
      </w:pPr>
      <w:r>
        <w:t xml:space="preserve">Las clases ofrecen otras dos ventajas. La primera es que se pueden especificar rangos de caracteres. Así, el conjunto de 32 caracteres especiales ASCII:</w:t>
      </w:r>
    </w:p>
    <w:p>
      <w:pPr>
        <w:pStyle w:val="BodyText"/>
      </w:pPr>
      <w:bookmarkStart w:id="98" w:name="I_programlisting7_d1e5966"/>
      <w:bookmarkEnd w:id="98"/>
    </w:p>
    <w:p>
      <w:pPr>
        <w:pStyle w:val="SourceCode"/>
      </w:pPr>
      <w:r>
        <w:rPr>
          <w:rStyle w:val="VerbatimChar"/>
        </w:rPr>
        <w:t xml:space="preserve">! " # $ % &amp; ' ( ) * +, - . / :</w:t>
      </w:r>
      <w:r>
        <w:br/>
      </w:r>
      <w:r>
        <w:rPr>
          <w:rStyle w:val="VerbatimChar"/>
        </w:rPr>
        <w:t xml:space="preserve">; &lt; = &gt; ? @ [ \ ] ^ _ ` { | } ˜</w:t>
      </w:r>
    </w:p>
    <w:p>
      <w:pPr>
        <w:pStyle w:val="FirstParagraph"/>
      </w:pPr>
      <w:r>
        <w:t xml:space="preserve">podría escribirse como</w:t>
      </w:r>
    </w:p>
    <w:p>
      <w:pPr>
        <w:pStyle w:val="BodyText"/>
      </w:pPr>
      <w:bookmarkStart w:id="99" w:name="I_programlisting7_d1e5970"/>
      <w:bookmarkEnd w:id="99"/>
    </w:p>
    <w:p>
      <w:pPr>
        <w:pStyle w:val="SourceCode"/>
      </w:pPr>
      <w:r>
        <w:rPr>
          <w:rStyle w:val="VerbatimChar"/>
        </w:rPr>
        <w:t xml:space="preserve">(?:!|"|#|\$|%|&amp;|'|\(|\)|\*|\+|,|-|\.|\/|:|;|&lt;|=|&gt;|@|\[|\\|]|\^|_|` |\{|\||\}|˜)</w:t>
      </w:r>
    </w:p>
    <w:p>
      <w:pPr>
        <w:pStyle w:val="FirstParagraph"/>
      </w:pPr>
      <w:r>
        <w:t xml:space="preserve">pero es ligeramente más agradable escribirlo como:</w:t>
      </w:r>
    </w:p>
    <w:p>
      <w:pPr>
        <w:pStyle w:val="BodyText"/>
      </w:pPr>
      <w:bookmarkStart w:id="100" w:name="I_programlisting7_d1e5974"/>
      <w:bookmarkEnd w:id="100"/>
    </w:p>
    <w:p>
      <w:pPr>
        <w:pStyle w:val="SourceCode"/>
      </w:pPr>
      <w:r>
        <w:rPr>
          <w:rStyle w:val="VerbatimChar"/>
        </w:rPr>
        <w:t xml:space="preserve">[!-\/:-@\[-`{-˜]</w:t>
      </w:r>
    </w:p>
    <w:p>
      <w:pPr>
        <w:pStyle w:val="FirstParagraph"/>
      </w:pPr>
      <w:r>
        <w:t xml:space="preserve">que incluye los caracteres de</w:t>
      </w:r>
      <w:r>
        <w:t xml:space="preserve"> </w:t>
      </w:r>
      <w:r>
        <w:rPr>
          <w:rStyle w:val="VerbatimChar"/>
        </w:rPr>
        <w:t xml:space="preserve">!</w:t>
      </w:r>
      <w:r>
        <w:t xml:space="preserve">a</w:t>
      </w:r>
      <w:r>
        <w:t xml:space="preserve"> </w:t>
      </w:r>
      <w:r>
        <w:rPr>
          <w:rStyle w:val="VerbatimChar"/>
        </w:rPr>
        <w:t xml:space="preserve">/</w:t>
      </w:r>
      <w:r>
        <w:t xml:space="preserve"> </w:t>
      </w:r>
      <w:r>
        <w:t xml:space="preserve">y de</w:t>
      </w:r>
      <w:r>
        <w:t xml:space="preserve"> </w:t>
      </w:r>
      <w:r>
        <w:rPr>
          <w:rStyle w:val="VerbatimChar"/>
        </w:rPr>
        <w:t xml:space="preserve">:</w:t>
      </w:r>
      <w:r>
        <w:t xml:space="preserve"> </w:t>
      </w:r>
      <w:r>
        <w:t xml:space="preserve">a</w:t>
      </w:r>
      <w:r>
        <w:t xml:space="preserve"> </w:t>
      </w:r>
      <w:r>
        <w:rPr>
          <w:rStyle w:val="VerbatimChar"/>
        </w:rPr>
        <w:t xml:space="preserve">@</w:t>
      </w:r>
      <w:r>
        <w:t xml:space="preserve"> </w:t>
      </w:r>
      <w:r>
        <w:t xml:space="preserve">y de</w:t>
      </w:r>
      <w:r>
        <w:t xml:space="preserve"> </w:t>
      </w:r>
      <w:r>
        <w:rPr>
          <w:rStyle w:val="VerbatimChar"/>
        </w:rPr>
        <w:t xml:space="preserve">[</w:t>
      </w:r>
      <w:r>
        <w:t xml:space="preserve"> </w:t>
      </w:r>
      <w:r>
        <w:t xml:space="preserve">a</w:t>
      </w:r>
      <w:r>
        <w:t xml:space="preserve"> </w:t>
      </w:r>
      <w:r>
        <w:rPr>
          <w:rStyle w:val="VerbatimChar"/>
        </w:rPr>
        <w:t xml:space="preserve">`</w:t>
      </w:r>
      <w:r>
        <w:t xml:space="preserve"> </w:t>
      </w:r>
      <w:r>
        <w:t xml:space="preserve">y de</w:t>
      </w:r>
      <w:r>
        <w:t xml:space="preserve"> </w:t>
      </w:r>
      <w:r>
        <w:rPr>
          <w:rStyle w:val="VerbatimChar"/>
        </w:rPr>
        <w:t xml:space="preserve">{</w:t>
      </w:r>
      <w:r>
        <w:t xml:space="preserve"> </w:t>
      </w:r>
      <w:r>
        <w:t xml:space="preserve">a</w:t>
      </w:r>
      <w:r>
        <w:t xml:space="preserve"> </w:t>
      </w:r>
      <w:r>
        <w:rPr>
          <w:rStyle w:val="VerbatimChar"/>
        </w:rPr>
        <w:t xml:space="preserve">˜</w:t>
      </w:r>
      <w:r>
        <w:t xml:space="preserve">. Sigue teniendo un aspecto bastante desagradable.</w:t>
      </w:r>
    </w:p>
    <w:p>
      <w:pPr>
        <w:pStyle w:val="BodyText"/>
      </w:pPr>
      <w:r>
        <w:t xml:space="preserve">La otra comodidad es la complementación de una clase. Si el primer carácter después de</w:t>
      </w:r>
      <w:r>
        <w:t xml:space="preserve"> </w:t>
      </w:r>
      <w:r>
        <w:rPr>
          <w:rStyle w:val="VerbatimChar"/>
        </w:rPr>
        <w:t xml:space="preserve">[</w:t>
      </w:r>
      <w:r>
        <w:t xml:space="preserve"> </w:t>
      </w:r>
      <w:r>
        <w:t xml:space="preserve">es</w:t>
      </w:r>
      <w:r>
        <w:t xml:space="preserve"> </w:t>
      </w:r>
      <w:r>
        <w:rPr>
          <w:rStyle w:val="VerbatimChar"/>
        </w:rPr>
        <w:t xml:space="preserve">^</w:t>
      </w:r>
      <w:r>
        <w:t xml:space="preserve">, entonces la clase excluye los caracteres especificados.</w:t>
      </w:r>
    </w:p>
    <w:p>
      <w:pPr>
        <w:pStyle w:val="BodyText"/>
      </w:pPr>
      <w:r>
        <w:t xml:space="preserve">Así que</w:t>
      </w:r>
      <w:r>
        <w:t xml:space="preserve"> </w:t>
      </w:r>
      <w:r>
        <w:rPr>
          <w:rStyle w:val="VerbatimChar"/>
        </w:rPr>
        <w:t xml:space="preserve">[^!-\/:-@\[-`{-˜]</w:t>
      </w:r>
      <w:r>
        <w:t xml:space="preserve"> </w:t>
      </w:r>
      <w:r>
        <w:t xml:space="preserve">coincide con cualquier carácter que sea</w:t>
      </w:r>
      <w:r>
        <w:t xml:space="preserve"> </w:t>
      </w:r>
      <w:r>
        <w:rPr>
          <w:i/>
          <w:iCs/>
        </w:rPr>
        <w:t xml:space="preserve">not</w:t>
      </w:r>
      <w:r>
        <w:t xml:space="preserve"> </w:t>
      </w:r>
      <w:r>
        <w:t xml:space="preserve">uno de los caracteres especiales ASCII.</w:t>
      </w:r>
    </w:p>
    <w:bookmarkStart w:id="102" w:name="escape-de-clases-regexp"/>
    <w:p>
      <w:pPr>
        <w:pStyle w:val="Heading2"/>
      </w:pPr>
      <w:bookmarkStart w:id="101" w:name="regexp_class_escape"/>
      <w:bookmarkEnd w:id="101"/>
      <w:r>
        <w:t xml:space="preserve">Escape de clases regexp</w:t>
      </w:r>
    </w:p>
    <w:bookmarkEnd w:id="102"/>
    <w:p>
      <w:pPr>
        <w:pStyle w:val="FirstParagraph"/>
      </w:pPr>
      <w:bookmarkStart w:id="103" w:name="I_mediaobject7_d1e6024"/>
      <w:bookmarkEnd w:id="103"/>
      <w:r>
        <w:drawing>
          <wp:inline>
            <wp:extent cx="4291584" cy="2237232"/>
            <wp:effectExtent b="0" l="0" r="0" t="0"/>
            <wp:docPr descr="image with no caption" title="" id="105" name="Picture"/>
            <a:graphic>
              <a:graphicData uri="http://schemas.openxmlformats.org/drawingml/2006/picture">
                <pic:pic>
                  <pic:nvPicPr>
                    <pic:cNvPr descr="httpatomoreillycomsourceoreillyimages238786.png" id="106" name="Picture"/>
                    <pic:cNvPicPr>
                      <a:picLocks noChangeArrowheads="1" noChangeAspect="1"/>
                    </pic:cNvPicPr>
                  </pic:nvPicPr>
                  <pic:blipFill>
                    <a:blip r:embed="rId104"/>
                    <a:stretch>
                      <a:fillRect/>
                    </a:stretch>
                  </pic:blipFill>
                  <pic:spPr bwMode="auto">
                    <a:xfrm>
                      <a:off x="0" y="0"/>
                      <a:ext cx="4291584" cy="2237232"/>
                    </a:xfrm>
                    <a:prstGeom prst="rect">
                      <a:avLst/>
                    </a:prstGeom>
                    <a:noFill/>
                    <a:ln w="9525">
                      <a:noFill/>
                      <a:headEnd/>
                      <a:tailEnd/>
                    </a:ln>
                  </pic:spPr>
                </pic:pic>
              </a:graphicData>
            </a:graphic>
          </wp:inline>
        </w:drawing>
      </w:r>
    </w:p>
    <w:p>
      <w:pPr>
        <w:pStyle w:val="BodyText"/>
      </w:pPr>
      <w:r>
        <w:t xml:space="preserve">Las reglas de escape dentro de una clase de caracteres son ligeramente diferentes a las de un factor regexp.</w:t>
      </w:r>
      <w:r>
        <w:t xml:space="preserve"> </w:t>
      </w:r>
      <w:r>
        <w:rPr>
          <w:rStyle w:val="VerbatimChar"/>
        </w:rPr>
        <w:t xml:space="preserve">[\b]</w:t>
      </w:r>
      <w:r>
        <w:t xml:space="preserve"> </w:t>
      </w:r>
      <w:r>
        <w:t xml:space="preserve">es el carácter de retroceso. Estos son los caracteres especiales que deben escaparse en una clase de caracteres:</w:t>
      </w:r>
      <w:bookmarkStart w:id="107" w:name="IDX-CHP-7-0395"/>
      <w:bookmarkEnd w:id="107"/>
      <w:bookmarkStart w:id="108" w:name="IDX-CHP-7-0396"/>
      <w:bookmarkEnd w:id="108"/>
    </w:p>
    <w:p>
      <w:pPr>
        <w:pStyle w:val="BodyText"/>
      </w:pPr>
      <w:bookmarkStart w:id="109" w:name="I_programlisting7_d1e6048"/>
      <w:bookmarkEnd w:id="109"/>
    </w:p>
    <w:p>
      <w:pPr>
        <w:pStyle w:val="SourceCode"/>
      </w:pPr>
      <w:r>
        <w:rPr>
          <w:rStyle w:val="VerbatimChar"/>
        </w:rPr>
        <w:t xml:space="preserve">- / [ \ ] ^</w:t>
      </w:r>
    </w:p>
    <w:bookmarkStart w:id="111" w:name="cuantificador-regexp"/>
    <w:p>
      <w:pPr>
        <w:pStyle w:val="Heading2"/>
      </w:pPr>
      <w:bookmarkStart w:id="110" w:name="regexp_quantifier"/>
      <w:bookmarkEnd w:id="110"/>
      <w:r>
        <w:t xml:space="preserve">Cuantificador Regexp</w:t>
      </w:r>
    </w:p>
    <w:bookmarkEnd w:id="111"/>
    <w:p>
      <w:pPr>
        <w:pStyle w:val="FirstParagraph"/>
      </w:pPr>
      <w:bookmarkStart w:id="112" w:name="I_mediaobject7_d1e6054"/>
      <w:bookmarkEnd w:id="112"/>
      <w:r>
        <w:drawing>
          <wp:inline>
            <wp:extent cx="3986784" cy="1219200"/>
            <wp:effectExtent b="0" l="0" r="0" t="0"/>
            <wp:docPr descr="image with no caption" title="" id="114" name="Picture"/>
            <a:graphic>
              <a:graphicData uri="http://schemas.openxmlformats.org/drawingml/2006/picture">
                <pic:pic>
                  <pic:nvPicPr>
                    <pic:cNvPr descr="httpatomoreillycomsourceoreillyimages238862.png" id="115" name="Picture"/>
                    <pic:cNvPicPr>
                      <a:picLocks noChangeArrowheads="1" noChangeAspect="1"/>
                    </pic:cNvPicPr>
                  </pic:nvPicPr>
                  <pic:blipFill>
                    <a:blip r:embed="rId113"/>
                    <a:stretch>
                      <a:fillRect/>
                    </a:stretch>
                  </pic:blipFill>
                  <pic:spPr bwMode="auto">
                    <a:xfrm>
                      <a:off x="0" y="0"/>
                      <a:ext cx="3986784" cy="1219200"/>
                    </a:xfrm>
                    <a:prstGeom prst="rect">
                      <a:avLst/>
                    </a:prstGeom>
                    <a:noFill/>
                    <a:ln w="9525">
                      <a:noFill/>
                      <a:headEnd/>
                      <a:tailEnd/>
                    </a:ln>
                  </pic:spPr>
                </pic:pic>
              </a:graphicData>
            </a:graphic>
          </wp:inline>
        </w:drawing>
      </w:r>
    </w:p>
    <w:p>
      <w:pPr>
        <w:pStyle w:val="BodyText"/>
      </w:pPr>
      <w:r>
        <w:t xml:space="preserve">A</w:t>
      </w:r>
      <w:r>
        <w:t xml:space="preserve"> </w:t>
      </w:r>
      <w:r>
        <w:rPr>
          <w:i/>
          <w:iCs/>
        </w:rPr>
        <w:t xml:space="preserve">regexp factor</w:t>
      </w:r>
      <w:r>
        <w:t xml:space="preserve"> </w:t>
      </w:r>
      <w:r>
        <w:t xml:space="preserve">puede tener un</w:t>
      </w:r>
      <w:r>
        <w:t xml:space="preserve"> </w:t>
      </w:r>
      <w:r>
        <w:rPr>
          <w:i/>
          <w:iCs/>
        </w:rPr>
        <w:t xml:space="preserve">regexp</w:t>
      </w:r>
      <w:r>
        <w:rPr>
          <w:i/>
          <w:iCs/>
        </w:rPr>
        <w:t xml:space="preserve"> </w:t>
      </w:r>
      <w:r>
        <w:rPr>
          <w:i/>
          <w:iCs/>
        </w:rPr>
        <w:t xml:space="preserve">quantifier</w:t>
      </w:r>
      <w:r>
        <w:t xml:space="preserve"> </w:t>
      </w:r>
      <w:r>
        <w:t xml:space="preserve">que determina cuántas veces debe coincidir el factor. Un número entre llaves significa que el factor debe coincidir ese número de veces. Así,</w:t>
      </w:r>
      <w:r>
        <w:t xml:space="preserve"> </w:t>
      </w:r>
      <w:r>
        <w:rPr>
          <w:rStyle w:val="VerbatimChar"/>
        </w:rPr>
        <w:t xml:space="preserve">/www/</w:t>
      </w:r>
      <w:r>
        <w:t xml:space="preserve"> </w:t>
      </w:r>
      <w:r>
        <w:t xml:space="preserve">coincide igual que</w:t>
      </w:r>
      <w:r>
        <w:t xml:space="preserve"> </w:t>
      </w:r>
      <w:r>
        <w:rPr>
          <w:rStyle w:val="VerbatimChar"/>
        </w:rPr>
        <w:t xml:space="preserve">/w{3}/</w:t>
      </w:r>
      <w:r>
        <w:t xml:space="preserve">.</w:t>
      </w:r>
      <w:r>
        <w:t xml:space="preserve"> </w:t>
      </w:r>
      <w:r>
        <w:rPr>
          <w:rStyle w:val="VerbatimChar"/>
        </w:rPr>
        <w:t xml:space="preserve">{3,6}</w:t>
      </w:r>
      <w:r>
        <w:t xml:space="preserve"> </w:t>
      </w:r>
      <w:r>
        <w:t xml:space="preserve">coincidirá 3, 4, 5 ó 6 veces.</w:t>
      </w:r>
      <w:r>
        <w:t xml:space="preserve"> </w:t>
      </w:r>
      <w:r>
        <w:rPr>
          <w:rStyle w:val="VerbatimChar"/>
        </w:rPr>
        <w:t xml:space="preserve">{3,}</w:t>
      </w:r>
      <w:r>
        <w:t xml:space="preserve"> </w:t>
      </w:r>
      <w:r>
        <w:t xml:space="preserve">coincidirá 3 o más veces.</w:t>
      </w:r>
      <w:bookmarkStart w:id="116" w:name="IDX-CHP-7-0397"/>
      <w:bookmarkEnd w:id="116"/>
      <w:bookmarkStart w:id="117" w:name="IDX-CHP-7-0398"/>
      <w:bookmarkEnd w:id="117"/>
      <w:bookmarkStart w:id="118" w:name="IDX-CHP-7-0399"/>
      <w:bookmarkEnd w:id="118"/>
      <w:bookmarkStart w:id="119" w:name="IDX-CHP-7-0400"/>
      <w:bookmarkEnd w:id="119"/>
      <w:bookmarkStart w:id="120" w:name="IDX-CHP-7-0401"/>
      <w:bookmarkEnd w:id="120"/>
      <w:bookmarkStart w:id="121" w:name="IDX-CHP-7-0402"/>
      <w:bookmarkEnd w:id="121"/>
      <w:bookmarkStart w:id="122" w:name="IDX-CHP-7-0403"/>
      <w:bookmarkEnd w:id="122"/>
      <w:bookmarkStart w:id="123" w:name="IDX-CHP-7-0404"/>
      <w:bookmarkEnd w:id="123"/>
      <w:bookmarkStart w:id="124" w:name="IDX-CHP-7-0405"/>
      <w:bookmarkEnd w:id="124"/>
      <w:bookmarkStart w:id="125" w:name="IDX-CHP-7-0406"/>
      <w:bookmarkEnd w:id="125"/>
      <w:bookmarkStart w:id="126" w:name="IDX-CHP-7-0407"/>
      <w:bookmarkEnd w:id="126"/>
      <w:bookmarkStart w:id="127" w:name="IDX-CHP-7-0408"/>
      <w:bookmarkEnd w:id="127"/>
      <w:bookmarkStart w:id="128" w:name="IDX-CHP-7-0409"/>
      <w:bookmarkEnd w:id="128"/>
      <w:bookmarkStart w:id="129" w:name="IDX-CHP-7-0410"/>
      <w:bookmarkEnd w:id="129"/>
      <w:bookmarkStart w:id="130" w:name="IDX-CHP-7-0411"/>
      <w:bookmarkEnd w:id="130"/>
      <w:bookmarkStart w:id="131" w:name="IDX-CHP-7-0412"/>
      <w:bookmarkEnd w:id="131"/>
      <w:bookmarkStart w:id="132" w:name="IDX-CHP-7-0413"/>
      <w:bookmarkEnd w:id="132"/>
      <w:bookmarkStart w:id="133" w:name="IDX-CHP-7-0414"/>
      <w:bookmarkEnd w:id="133"/>
      <w:bookmarkStart w:id="134" w:name="IDX-CHP-7-0415"/>
      <w:bookmarkEnd w:id="134"/>
      <w:bookmarkStart w:id="135" w:name="IDX-CHP-7-0416"/>
      <w:bookmarkEnd w:id="135"/>
      <w:bookmarkStart w:id="136" w:name="IDX-CHP-7-0417"/>
      <w:bookmarkEnd w:id="136"/>
      <w:bookmarkStart w:id="137" w:name="IDX-CHP-7-0418"/>
      <w:bookmarkEnd w:id="137"/>
      <w:bookmarkStart w:id="138" w:name="IDX-CHP-7-0419"/>
      <w:bookmarkEnd w:id="138"/>
      <w:bookmarkStart w:id="139" w:name="IDX-CHP-7-0420"/>
      <w:bookmarkEnd w:id="139"/>
      <w:bookmarkStart w:id="140" w:name="IDX-CHP-7-0421"/>
      <w:bookmarkEnd w:id="140"/>
      <w:bookmarkStart w:id="141" w:name="IDX-CHP-7-0422"/>
      <w:bookmarkEnd w:id="141"/>
      <w:bookmarkStart w:id="142" w:name="IDX-CHP-7-0423"/>
      <w:bookmarkEnd w:id="142"/>
      <w:bookmarkStart w:id="143" w:name="IDX-CHP-7-0424"/>
      <w:bookmarkEnd w:id="143"/>
      <w:bookmarkStart w:id="144" w:name="IDX-CHP-7-0425"/>
      <w:bookmarkEnd w:id="144"/>
      <w:bookmarkStart w:id="145" w:name="IDX-CHP-7-0426"/>
      <w:bookmarkEnd w:id="145"/>
      <w:bookmarkStart w:id="146" w:name="IDX-CHP-7-0427"/>
      <w:bookmarkEnd w:id="146"/>
      <w:bookmarkStart w:id="147" w:name="IDX-CHP-7-0428"/>
      <w:bookmarkEnd w:id="147"/>
      <w:bookmarkStart w:id="148" w:name="IDX-CHP-7-0429"/>
      <w:bookmarkEnd w:id="148"/>
      <w:bookmarkStart w:id="149" w:name="IDX-CHP-7-0430"/>
      <w:bookmarkEnd w:id="149"/>
      <w:bookmarkStart w:id="150" w:name="IDX-CHP-7-0431"/>
      <w:bookmarkEnd w:id="150"/>
      <w:bookmarkStart w:id="151" w:name="IDX-CHP-7-0432"/>
      <w:bookmarkEnd w:id="151"/>
      <w:bookmarkStart w:id="152" w:name="IDX-CHP-7-0433"/>
      <w:bookmarkEnd w:id="152"/>
      <w:bookmarkStart w:id="153" w:name="IDX-CHP-7-0434"/>
      <w:bookmarkEnd w:id="153"/>
      <w:bookmarkStart w:id="154" w:name="IDX-CHP-7-0435"/>
      <w:bookmarkEnd w:id="154"/>
      <w:bookmarkStart w:id="155" w:name="IDX-CHP-7-0436"/>
      <w:bookmarkEnd w:id="155"/>
      <w:bookmarkStart w:id="156" w:name="IDX-CHP-7-0437"/>
      <w:bookmarkEnd w:id="156"/>
      <w:bookmarkStart w:id="157" w:name="IDX-CHP-7-0438"/>
      <w:bookmarkEnd w:id="157"/>
      <w:bookmarkStart w:id="158" w:name="IDX-CHP-7-0439"/>
      <w:bookmarkEnd w:id="158"/>
      <w:bookmarkStart w:id="159" w:name="IDX-CHP-7-0440"/>
      <w:bookmarkEnd w:id="159"/>
      <w:bookmarkStart w:id="160" w:name="IDX-CHP-7-0441"/>
      <w:bookmarkEnd w:id="160"/>
      <w:bookmarkStart w:id="161" w:name="IDX-CHP-7-0442"/>
      <w:bookmarkEnd w:id="161"/>
      <w:bookmarkStart w:id="162" w:name="IDX-CHP-7-0443"/>
      <w:bookmarkEnd w:id="162"/>
      <w:bookmarkStart w:id="163" w:name="IDX-CHP-7-0444"/>
      <w:bookmarkEnd w:id="163"/>
      <w:bookmarkStart w:id="164" w:name="IDX-CHP-7-0445"/>
      <w:bookmarkEnd w:id="164"/>
      <w:bookmarkStart w:id="165" w:name="IDX-CHP-7-0446"/>
      <w:bookmarkEnd w:id="165"/>
      <w:bookmarkStart w:id="166" w:name="IDX-CHP-7-0447"/>
      <w:bookmarkEnd w:id="166"/>
      <w:bookmarkStart w:id="167" w:name="IDX-CHP-7-0448"/>
      <w:bookmarkEnd w:id="167"/>
      <w:bookmarkStart w:id="168" w:name="IDX-CHP-7-0449"/>
      <w:bookmarkEnd w:id="168"/>
      <w:bookmarkStart w:id="169" w:name="IDX-CHP-7-0450"/>
      <w:bookmarkEnd w:id="169"/>
      <w:bookmarkStart w:id="170" w:name="IDX-CHP-7-0451"/>
      <w:bookmarkEnd w:id="170"/>
      <w:bookmarkStart w:id="171" w:name="IDX-CHP-7-0452"/>
      <w:bookmarkEnd w:id="171"/>
      <w:bookmarkStart w:id="172" w:name="IDX-CHP-7-0453"/>
      <w:bookmarkEnd w:id="172"/>
      <w:bookmarkStart w:id="173" w:name="IDX-CHP-7-0454"/>
      <w:bookmarkEnd w:id="173"/>
      <w:bookmarkStart w:id="174" w:name="IDX-CHP-7-0455"/>
      <w:bookmarkEnd w:id="174"/>
      <w:bookmarkStart w:id="175" w:name="IDX-CHP-7-0456"/>
      <w:bookmarkEnd w:id="175"/>
      <w:bookmarkStart w:id="176" w:name="IDX-CHP-7-0457"/>
      <w:bookmarkEnd w:id="176"/>
      <w:bookmarkStart w:id="177" w:name="IDX-CHP-7-0458"/>
      <w:bookmarkEnd w:id="177"/>
      <w:bookmarkStart w:id="178" w:name="IDX-CHP-7-0459"/>
      <w:bookmarkEnd w:id="178"/>
      <w:bookmarkStart w:id="179" w:name="IDX-CHP-7-0460"/>
      <w:bookmarkEnd w:id="179"/>
      <w:bookmarkStart w:id="180" w:name="IDX-CHP-7-0461"/>
      <w:bookmarkEnd w:id="180"/>
      <w:bookmarkStart w:id="181" w:name="IDX-CHP-7-0462"/>
      <w:bookmarkEnd w:id="181"/>
      <w:bookmarkStart w:id="182" w:name="IDX-CHP-7-0463"/>
      <w:bookmarkEnd w:id="182"/>
      <w:bookmarkStart w:id="183" w:name="IDX-CHP-7-0464"/>
      <w:bookmarkEnd w:id="183"/>
      <w:bookmarkStart w:id="184" w:name="IDX-CHP-7-0465"/>
      <w:bookmarkEnd w:id="184"/>
      <w:bookmarkStart w:id="185" w:name="IDX-CHP-7-0466"/>
      <w:bookmarkEnd w:id="185"/>
      <w:bookmarkStart w:id="186" w:name="IDX-CHP-7-0467"/>
      <w:bookmarkEnd w:id="186"/>
      <w:bookmarkStart w:id="187" w:name="IDX-CHP-7-0468"/>
      <w:bookmarkEnd w:id="187"/>
      <w:bookmarkStart w:id="188" w:name="IDX-CHP-7-0469"/>
      <w:bookmarkEnd w:id="188"/>
      <w:bookmarkStart w:id="189" w:name="IDX-CHP-7-0470"/>
      <w:bookmarkEnd w:id="189"/>
      <w:bookmarkStart w:id="190" w:name="IDX-CHP-7-0471"/>
      <w:bookmarkEnd w:id="190"/>
      <w:bookmarkStart w:id="191" w:name="IDX-CHP-7-0472"/>
      <w:bookmarkEnd w:id="191"/>
      <w:bookmarkStart w:id="192" w:name="IDX-CHP-7-0473"/>
      <w:bookmarkEnd w:id="192"/>
      <w:bookmarkStart w:id="193" w:name="IDX-CHP-7-0474"/>
      <w:bookmarkEnd w:id="193"/>
    </w:p>
    <w:p>
      <w:pPr>
        <w:pStyle w:val="BodyText"/>
      </w:pPr>
      <w:r>
        <w:rPr>
          <w:rStyle w:val="VerbatimChar"/>
        </w:rPr>
        <w:t xml:space="preserve">?</w:t>
      </w:r>
      <w:r>
        <w:t xml:space="preserve"> </w:t>
      </w:r>
      <w:r>
        <w:t xml:space="preserve">es igual que</w:t>
      </w:r>
      <w:r>
        <w:t xml:space="preserve"> </w:t>
      </w:r>
      <w:r>
        <w:rPr>
          <w:rStyle w:val="VerbatimChar"/>
        </w:rPr>
        <w:t xml:space="preserve">{0,1}</w:t>
      </w:r>
      <w:r>
        <w:t xml:space="preserve">.</w:t>
      </w:r>
      <w:r>
        <w:t xml:space="preserve"> </w:t>
      </w:r>
      <w:r>
        <w:rPr>
          <w:rStyle w:val="VerbatimChar"/>
        </w:rPr>
        <w:t xml:space="preserve">*</w:t>
      </w:r>
      <w:r>
        <w:t xml:space="preserve"> </w:t>
      </w:r>
      <w:r>
        <w:t xml:space="preserve">es igual que</w:t>
      </w:r>
      <w:r>
        <w:t xml:space="preserve"> </w:t>
      </w:r>
      <w:r>
        <w:rPr>
          <w:rStyle w:val="VerbatimChar"/>
        </w:rPr>
        <w:t xml:space="preserve">{0,}</w:t>
      </w:r>
      <w:r>
        <w:t xml:space="preserve">.</w:t>
      </w:r>
      <w:r>
        <w:t xml:space="preserve"> </w:t>
      </w:r>
      <w:r>
        <w:rPr>
          <w:rStyle w:val="VerbatimChar"/>
        </w:rPr>
        <w:t xml:space="preserve">+</w:t>
      </w:r>
      <w:r>
        <w:t xml:space="preserve"> </w:t>
      </w:r>
      <w:r>
        <w:t xml:space="preserve">es igual que</w:t>
      </w:r>
      <w:r>
        <w:t xml:space="preserve"> </w:t>
      </w:r>
      <w:r>
        <w:rPr>
          <w:rStyle w:val="VerbatimChar"/>
        </w:rPr>
        <w:t xml:space="preserve">{1,}</w:t>
      </w:r>
      <w:r>
        <w:t xml:space="preserve">.</w:t>
      </w:r>
    </w:p>
    <w:p>
      <w:pPr>
        <w:pStyle w:val="BodyText"/>
      </w:pPr>
      <w:r>
        <w:t xml:space="preserve">La concordancia tiende a ser avariciosa, haciendo coincidir tantas repeticiones como sea posible hasta el límite, si lo hay. Si el cuantificador tiene un sufijo extra</w:t>
      </w:r>
      <w:r>
        <w:t xml:space="preserve"> </w:t>
      </w:r>
      <w:r>
        <w:rPr>
          <w:rStyle w:val="VerbatimChar"/>
        </w:rPr>
        <w:t xml:space="preserve">?</w:t>
      </w:r>
      <w:r>
        <w:t xml:space="preserve">, la concordancia tiende a ser perezosa, intentando concordar el menor número posible de repeticiones. Por lo general, es mejor seguir con la concordancia codiciosa.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image" Id="rId104" Target="media/rId104.png" /><Relationship Type="http://schemas.openxmlformats.org/officeDocument/2006/relationships/image" Id="rId27" Target="media/rId27.png" /><Relationship Type="http://schemas.openxmlformats.org/officeDocument/2006/relationships/image" Id="rId91" Target="media/rId91.png" /><Relationship Type="http://schemas.openxmlformats.org/officeDocument/2006/relationships/image" Id="rId113" Target="media/rId11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Elements</dc:title>
  <dc:creator/>
  <cp:keywords/>
  <dcterms:created xsi:type="dcterms:W3CDTF">2024-02-29T04:32:04Z</dcterms:created>
  <dcterms:modified xsi:type="dcterms:W3CDTF">2024-02-29T04:32:04Z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