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Elements</w:t>
      </w:r>
    </w:p>
    <w:bookmarkStart w:id="106" w:name="cuantificador-regexp"/>
    <w:p>
      <w:pPr>
        <w:pStyle w:val="Heading2"/>
      </w:pPr>
      <w:bookmarkStart w:id="20" w:name="regexp_quantifier"/>
      <w:bookmarkEnd w:id="20"/>
      <w:r>
        <w:t xml:space="preserve">Cuantificador Regexp</w:t>
      </w:r>
    </w:p>
    <w:p>
      <w:pPr>
        <w:pStyle w:val="FirstParagraph"/>
      </w:pPr>
      <w:bookmarkStart w:id="21" w:name="I_mediaobject7_d1e6054"/>
      <w:bookmarkEnd w:id="21"/>
      <w:r>
        <w:drawing>
          <wp:inline>
            <wp:extent cx="3986784" cy="1219200"/>
            <wp:effectExtent b="0" l="0" r="0" t="0"/>
            <wp:docPr descr="image with no caption" title="" id="23" name="Picture"/>
            <a:graphic>
              <a:graphicData uri="http://schemas.openxmlformats.org/drawingml/2006/picture">
                <pic:pic>
                  <pic:nvPicPr>
                    <pic:cNvPr descr="httpatomoreillycomsourceoreillyimages23886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84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  <w:iCs/>
        </w:rPr>
        <w:t xml:space="preserve">regexp factor</w:t>
      </w:r>
      <w:r>
        <w:t xml:space="preserve"> </w:t>
      </w:r>
      <w:r>
        <w:t xml:space="preserve">puede tener un</w:t>
      </w:r>
      <w:r>
        <w:t xml:space="preserve"> </w:t>
      </w:r>
      <w:r>
        <w:rPr>
          <w:i/>
          <w:iCs/>
        </w:rPr>
        <w:t xml:space="preserve">regexp</w:t>
      </w:r>
      <w:r>
        <w:rPr>
          <w:i/>
          <w:iCs/>
        </w:rPr>
        <w:t xml:space="preserve"> </w:t>
      </w:r>
      <w:r>
        <w:rPr>
          <w:i/>
          <w:iCs/>
        </w:rPr>
        <w:t xml:space="preserve">quantifier</w:t>
      </w:r>
      <w:r>
        <w:t xml:space="preserve"> </w:t>
      </w:r>
      <w:r>
        <w:t xml:space="preserve">que determina cuántas veces debe coincidir el factor. Un número entre llaves significa que el factor debe coincidir ese número de veces. Así,</w:t>
      </w:r>
      <w:r>
        <w:t xml:space="preserve"> </w:t>
      </w:r>
      <w:r>
        <w:rPr>
          <w:rStyle w:val="VerbatimChar"/>
        </w:rPr>
        <w:t xml:space="preserve">/www/</w:t>
      </w:r>
      <w:r>
        <w:t xml:space="preserve"> </w:t>
      </w:r>
      <w:r>
        <w:t xml:space="preserve">coincide igual que</w:t>
      </w:r>
      <w:r>
        <w:t xml:space="preserve"> </w:t>
      </w:r>
      <w:r>
        <w:rPr>
          <w:rStyle w:val="VerbatimChar"/>
        </w:rPr>
        <w:t xml:space="preserve">/w{3}/</w:t>
      </w:r>
      <w:r>
        <w:t xml:space="preserve">.</w:t>
      </w:r>
      <w:r>
        <w:t xml:space="preserve"> </w:t>
      </w:r>
      <w:r>
        <w:rPr>
          <w:rStyle w:val="VerbatimChar"/>
        </w:rPr>
        <w:t xml:space="preserve">{3,6}</w:t>
      </w:r>
      <w:r>
        <w:t xml:space="preserve"> </w:t>
      </w:r>
      <w:r>
        <w:t xml:space="preserve">coincidirá 3, 4, 5 ó 6 veces.</w:t>
      </w:r>
      <w:r>
        <w:t xml:space="preserve"> </w:t>
      </w:r>
      <w:r>
        <w:rPr>
          <w:rStyle w:val="VerbatimChar"/>
        </w:rPr>
        <w:t xml:space="preserve">{3,}</w:t>
      </w:r>
      <w:r>
        <w:t xml:space="preserve"> </w:t>
      </w:r>
      <w:r>
        <w:t xml:space="preserve">coincidirá 3 o más veces.</w:t>
      </w:r>
      <w:bookmarkStart w:id="25" w:name="IDX-CHP-7-0397"/>
      <w:bookmarkEnd w:id="25"/>
      <w:bookmarkStart w:id="26" w:name="IDX-CHP-7-0398"/>
      <w:bookmarkEnd w:id="26"/>
      <w:bookmarkStart w:id="27" w:name="IDX-CHP-7-0399"/>
      <w:bookmarkEnd w:id="27"/>
      <w:bookmarkStart w:id="28" w:name="IDX-CHP-7-0400"/>
      <w:bookmarkEnd w:id="28"/>
      <w:bookmarkStart w:id="29" w:name="IDX-CHP-7-0401"/>
      <w:bookmarkEnd w:id="29"/>
      <w:bookmarkStart w:id="30" w:name="IDX-CHP-7-0402"/>
      <w:bookmarkEnd w:id="30"/>
      <w:bookmarkStart w:id="31" w:name="IDX-CHP-7-0403"/>
      <w:bookmarkEnd w:id="31"/>
      <w:bookmarkStart w:id="32" w:name="IDX-CHP-7-0404"/>
      <w:bookmarkEnd w:id="32"/>
      <w:bookmarkStart w:id="33" w:name="IDX-CHP-7-0405"/>
      <w:bookmarkEnd w:id="33"/>
      <w:bookmarkStart w:id="34" w:name="IDX-CHP-7-0406"/>
      <w:bookmarkEnd w:id="34"/>
      <w:bookmarkStart w:id="35" w:name="IDX-CHP-7-0407"/>
      <w:bookmarkEnd w:id="35"/>
      <w:bookmarkStart w:id="36" w:name="IDX-CHP-7-0408"/>
      <w:bookmarkEnd w:id="36"/>
      <w:bookmarkStart w:id="37" w:name="IDX-CHP-7-0409"/>
      <w:bookmarkEnd w:id="37"/>
      <w:bookmarkStart w:id="38" w:name="IDX-CHP-7-0410"/>
      <w:bookmarkEnd w:id="38"/>
      <w:bookmarkStart w:id="39" w:name="IDX-CHP-7-0411"/>
      <w:bookmarkEnd w:id="39"/>
      <w:bookmarkStart w:id="40" w:name="IDX-CHP-7-0412"/>
      <w:bookmarkEnd w:id="40"/>
      <w:bookmarkStart w:id="41" w:name="IDX-CHP-7-0413"/>
      <w:bookmarkEnd w:id="41"/>
      <w:bookmarkStart w:id="42" w:name="IDX-CHP-7-0414"/>
      <w:bookmarkEnd w:id="42"/>
      <w:bookmarkStart w:id="43" w:name="IDX-CHP-7-0415"/>
      <w:bookmarkEnd w:id="43"/>
      <w:bookmarkStart w:id="44" w:name="IDX-CHP-7-0416"/>
      <w:bookmarkEnd w:id="44"/>
      <w:bookmarkStart w:id="45" w:name="IDX-CHP-7-0417"/>
      <w:bookmarkEnd w:id="45"/>
      <w:bookmarkStart w:id="46" w:name="IDX-CHP-7-0418"/>
      <w:bookmarkEnd w:id="46"/>
      <w:bookmarkStart w:id="47" w:name="IDX-CHP-7-0419"/>
      <w:bookmarkEnd w:id="47"/>
      <w:bookmarkStart w:id="48" w:name="IDX-CHP-7-0420"/>
      <w:bookmarkEnd w:id="48"/>
      <w:bookmarkStart w:id="49" w:name="IDX-CHP-7-0421"/>
      <w:bookmarkEnd w:id="49"/>
      <w:bookmarkStart w:id="50" w:name="IDX-CHP-7-0422"/>
      <w:bookmarkEnd w:id="50"/>
      <w:bookmarkStart w:id="51" w:name="IDX-CHP-7-0423"/>
      <w:bookmarkEnd w:id="51"/>
      <w:bookmarkStart w:id="52" w:name="IDX-CHP-7-0424"/>
      <w:bookmarkEnd w:id="52"/>
      <w:bookmarkStart w:id="53" w:name="IDX-CHP-7-0425"/>
      <w:bookmarkEnd w:id="53"/>
      <w:bookmarkStart w:id="54" w:name="IDX-CHP-7-0426"/>
      <w:bookmarkEnd w:id="54"/>
      <w:bookmarkStart w:id="55" w:name="IDX-CHP-7-0427"/>
      <w:bookmarkEnd w:id="55"/>
      <w:bookmarkStart w:id="56" w:name="IDX-CHP-7-0428"/>
      <w:bookmarkEnd w:id="56"/>
      <w:bookmarkStart w:id="57" w:name="IDX-CHP-7-0429"/>
      <w:bookmarkEnd w:id="57"/>
      <w:bookmarkStart w:id="58" w:name="IDX-CHP-7-0430"/>
      <w:bookmarkEnd w:id="58"/>
      <w:bookmarkStart w:id="59" w:name="IDX-CHP-7-0431"/>
      <w:bookmarkEnd w:id="59"/>
      <w:bookmarkStart w:id="60" w:name="IDX-CHP-7-0432"/>
      <w:bookmarkEnd w:id="60"/>
      <w:bookmarkStart w:id="61" w:name="IDX-CHP-7-0433"/>
      <w:bookmarkEnd w:id="61"/>
      <w:bookmarkStart w:id="62" w:name="IDX-CHP-7-0434"/>
      <w:bookmarkEnd w:id="62"/>
      <w:bookmarkStart w:id="63" w:name="IDX-CHP-7-0435"/>
      <w:bookmarkEnd w:id="63"/>
      <w:bookmarkStart w:id="64" w:name="IDX-CHP-7-0436"/>
      <w:bookmarkEnd w:id="64"/>
      <w:bookmarkStart w:id="65" w:name="IDX-CHP-7-0437"/>
      <w:bookmarkEnd w:id="65"/>
      <w:bookmarkStart w:id="66" w:name="IDX-CHP-7-0438"/>
      <w:bookmarkEnd w:id="66"/>
      <w:bookmarkStart w:id="67" w:name="IDX-CHP-7-0439"/>
      <w:bookmarkEnd w:id="67"/>
      <w:bookmarkStart w:id="68" w:name="IDX-CHP-7-0440"/>
      <w:bookmarkEnd w:id="68"/>
      <w:bookmarkStart w:id="69" w:name="IDX-CHP-7-0441"/>
      <w:bookmarkEnd w:id="69"/>
      <w:bookmarkStart w:id="70" w:name="IDX-CHP-7-0442"/>
      <w:bookmarkEnd w:id="70"/>
      <w:bookmarkStart w:id="71" w:name="IDX-CHP-7-0443"/>
      <w:bookmarkEnd w:id="71"/>
      <w:bookmarkStart w:id="72" w:name="IDX-CHP-7-0444"/>
      <w:bookmarkEnd w:id="72"/>
      <w:bookmarkStart w:id="73" w:name="IDX-CHP-7-0445"/>
      <w:bookmarkEnd w:id="73"/>
      <w:bookmarkStart w:id="74" w:name="IDX-CHP-7-0446"/>
      <w:bookmarkEnd w:id="74"/>
      <w:bookmarkStart w:id="75" w:name="IDX-CHP-7-0447"/>
      <w:bookmarkEnd w:id="75"/>
      <w:bookmarkStart w:id="76" w:name="IDX-CHP-7-0448"/>
      <w:bookmarkEnd w:id="76"/>
      <w:bookmarkStart w:id="77" w:name="IDX-CHP-7-0449"/>
      <w:bookmarkEnd w:id="77"/>
      <w:bookmarkStart w:id="78" w:name="IDX-CHP-7-0450"/>
      <w:bookmarkEnd w:id="78"/>
      <w:bookmarkStart w:id="79" w:name="IDX-CHP-7-0451"/>
      <w:bookmarkEnd w:id="79"/>
      <w:bookmarkStart w:id="80" w:name="IDX-CHP-7-0452"/>
      <w:bookmarkEnd w:id="80"/>
      <w:bookmarkStart w:id="81" w:name="IDX-CHP-7-0453"/>
      <w:bookmarkEnd w:id="81"/>
      <w:bookmarkStart w:id="82" w:name="IDX-CHP-7-0454"/>
      <w:bookmarkEnd w:id="82"/>
      <w:bookmarkStart w:id="83" w:name="IDX-CHP-7-0455"/>
      <w:bookmarkEnd w:id="83"/>
      <w:bookmarkStart w:id="84" w:name="IDX-CHP-7-0456"/>
      <w:bookmarkEnd w:id="84"/>
      <w:bookmarkStart w:id="85" w:name="IDX-CHP-7-0457"/>
      <w:bookmarkEnd w:id="85"/>
      <w:bookmarkStart w:id="86" w:name="IDX-CHP-7-0458"/>
      <w:bookmarkEnd w:id="86"/>
      <w:bookmarkStart w:id="87" w:name="IDX-CHP-7-0459"/>
      <w:bookmarkEnd w:id="87"/>
      <w:bookmarkStart w:id="88" w:name="IDX-CHP-7-0460"/>
      <w:bookmarkEnd w:id="88"/>
      <w:bookmarkStart w:id="89" w:name="IDX-CHP-7-0461"/>
      <w:bookmarkEnd w:id="89"/>
      <w:bookmarkStart w:id="90" w:name="IDX-CHP-7-0462"/>
      <w:bookmarkEnd w:id="90"/>
      <w:bookmarkStart w:id="91" w:name="IDX-CHP-7-0463"/>
      <w:bookmarkEnd w:id="91"/>
      <w:bookmarkStart w:id="92" w:name="IDX-CHP-7-0464"/>
      <w:bookmarkEnd w:id="92"/>
      <w:bookmarkStart w:id="93" w:name="IDX-CHP-7-0465"/>
      <w:bookmarkEnd w:id="93"/>
      <w:bookmarkStart w:id="94" w:name="IDX-CHP-7-0466"/>
      <w:bookmarkEnd w:id="94"/>
      <w:bookmarkStart w:id="95" w:name="IDX-CHP-7-0467"/>
      <w:bookmarkEnd w:id="95"/>
      <w:bookmarkStart w:id="96" w:name="IDX-CHP-7-0468"/>
      <w:bookmarkEnd w:id="96"/>
      <w:bookmarkStart w:id="97" w:name="IDX-CHP-7-0469"/>
      <w:bookmarkEnd w:id="97"/>
      <w:bookmarkStart w:id="98" w:name="IDX-CHP-7-0470"/>
      <w:bookmarkEnd w:id="98"/>
      <w:bookmarkStart w:id="99" w:name="IDX-CHP-7-0471"/>
      <w:bookmarkEnd w:id="99"/>
      <w:bookmarkStart w:id="100" w:name="IDX-CHP-7-0472"/>
      <w:bookmarkEnd w:id="100"/>
      <w:bookmarkStart w:id="101" w:name="IDX-CHP-7-0473"/>
      <w:bookmarkEnd w:id="101"/>
      <w:bookmarkStart w:id="102" w:name="IDX-CHP-7-0474"/>
      <w:bookmarkEnd w:id="102"/>
    </w:p>
    <w:p>
      <w:pPr>
        <w:pStyle w:val="BodyText"/>
      </w:pPr>
      <w:r>
        <w:rPr>
          <w:rStyle w:val="VerbatimChar"/>
        </w:rPr>
        <w:t xml:space="preserve">?</w:t>
      </w:r>
      <w:r>
        <w:t xml:space="preserve"> </w:t>
      </w:r>
      <w:r>
        <w:t xml:space="preserve">es igual que</w:t>
      </w:r>
      <w:r>
        <w:t xml:space="preserve"> </w:t>
      </w:r>
      <w:r>
        <w:rPr>
          <w:rStyle w:val="VerbatimChar"/>
        </w:rPr>
        <w:t xml:space="preserve">{0,1}</w:t>
      </w:r>
      <w:r>
        <w:t xml:space="preserve">.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es igual que</w:t>
      </w:r>
      <w:r>
        <w:t xml:space="preserve"> </w:t>
      </w:r>
      <w:r>
        <w:rPr>
          <w:rStyle w:val="VerbatimChar"/>
        </w:rPr>
        <w:t xml:space="preserve">{0,}</w:t>
      </w:r>
      <w:r>
        <w:t xml:space="preserve">.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es igual que</w:t>
      </w:r>
      <w:r>
        <w:t xml:space="preserve"> </w:t>
      </w:r>
      <w:r>
        <w:rPr>
          <w:rStyle w:val="VerbatimChar"/>
        </w:rPr>
        <w:t xml:space="preserve">{1,}</w:t>
      </w:r>
      <w:r>
        <w:t xml:space="preserve">.</w:t>
      </w:r>
    </w:p>
    <w:p>
      <w:pPr>
        <w:pStyle w:val="BodyText"/>
      </w:pPr>
      <w:r>
        <w:t xml:space="preserve">La concordancia tiende a ser avariciosa, haciendo coincidir tantas repeticiones como sea posible hasta el límite, si lo hay. Si el cuantificador tiene un sufijo extra</w:t>
      </w:r>
      <w:r>
        <w:t xml:space="preserve"> </w:t>
      </w:r>
      <w:r>
        <w:rPr>
          <w:rStyle w:val="VerbatimChar"/>
        </w:rPr>
        <w:t xml:space="preserve">?</w:t>
      </w:r>
      <w:r>
        <w:t xml:space="preserve">, la concordancia tiende a ser perezosa, intentando concordar el menor número posible de repeticiones. Por lo general, es mejor seguir con la concordancia codiciosa.</w:t>
      </w:r>
    </w:p>
    <w:p>
      <w:pPr>
        <w:pStyle w:val="BodyText"/>
      </w:pPr>
      <w:hyperlink r:id="rId103">
        <w:r>
          <w:rPr>
            <w:rStyle w:val="Hyperlink"/>
          </w:rPr>
          <w:t xml:space="preserve">anterior</w:t>
        </w:r>
      </w:hyperlink>
      <w:hyperlink r:id="rId104">
        <w:r>
          <w:rPr>
            <w:rStyle w:val="Hyperlink"/>
          </w:rPr>
          <w:t xml:space="preserve">Subtema 9 de 9: (Ver todo)</w:t>
        </w:r>
      </w:hyperlink>
      <w:r>
        <w:br/>
      </w:r>
    </w:p>
    <w:p>
      <w:pPr>
        <w:pStyle w:val="BodyText"/>
      </w:pPr>
      <w:r>
        <w:br/>
      </w:r>
      <w:hyperlink r:id="rId105"/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104" Target="ch07s03.html" TargetMode="External" /><Relationship Type="http://schemas.openxmlformats.org/officeDocument/2006/relationships/hyperlink" Id="rId103" Target="ch07s03_8.html" TargetMode="External" /><Relationship Type="http://schemas.openxmlformats.org/officeDocument/2006/relationships/hyperlink" Id="rId105" Target="ch07s03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ch07s03.html" TargetMode="External" /><Relationship Type="http://schemas.openxmlformats.org/officeDocument/2006/relationships/hyperlink" Id="rId103" Target="ch07s03_8.html" TargetMode="External" /><Relationship Type="http://schemas.openxmlformats.org/officeDocument/2006/relationships/hyperlink" Id="rId105" Target="ch07s03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Elements</dc:title>
  <dc:creator/>
  <dc:language>es</dc:language>
  <cp:keywords/>
  <dcterms:created xsi:type="dcterms:W3CDTF">2024-02-29T04:32:10Z</dcterms:created>
  <dcterms:modified xsi:type="dcterms:W3CDTF">2024-02-29T04:32:10Z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