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30" w:name="ch09lev1sec3"/>
    <w:p>
      <w:pPr>
        <w:pStyle w:val="Heading3"/>
      </w:pPr>
      <w:r>
        <w:t xml:space="preserve">Dibujar un coche</w:t>
      </w:r>
    </w:p>
    <w:p>
      <w:pPr>
        <w:pStyle w:val="FirstParagraph"/>
      </w:pPr>
      <w:r>
        <w:t xml:space="preserve">La tortuga también puede cambiar de color y dibujar formas concretas. Para este ejemplo, dibujaremos un coche sencillo, aunque no de aspecto tonto.</w:t>
      </w:r>
    </w:p>
    <w:p>
      <w:pPr>
        <w:pStyle w:val="BodyText"/>
      </w:pPr>
      <w:r>
        <w:t xml:space="preserve">Primero dibujaremos la carrocería del coche. En IDLE, selecciona</w:t>
      </w:r>
      <w:r>
        <w:t xml:space="preserve"> </w:t>
      </w:r>
      <w:r>
        <w:rPr>
          <w:b/>
          <w:bCs/>
        </w:rPr>
        <w:t xml:space="preserve">Archivo ▸ Nuevo Archivo</w:t>
      </w:r>
      <w:r>
        <w:t xml:space="preserve"> </w:t>
      </w:r>
      <w:r>
        <w:t xml:space="preserve">, e introduce el siguiente código en la ventana:</w:t>
      </w:r>
    </w:p>
    <w:p>
      <w:pPr>
        <w:pStyle w:val="SourceCode"/>
      </w:pPr>
      <w:r>
        <w:rPr>
          <w:rStyle w:val="VerbatimChar"/>
        </w:rPr>
        <w:t xml:space="preserve">t.reset()</w:t>
      </w:r>
      <w:r>
        <w:br/>
      </w:r>
      <w:r>
        <w:rPr>
          <w:rStyle w:val="VerbatimChar"/>
        </w:rPr>
        <w:t xml:space="preserve">t.color(1,0,0)</w:t>
      </w:r>
      <w:r>
        <w:br/>
      </w:r>
      <w:r>
        <w:rPr>
          <w:rStyle w:val="VerbatimChar"/>
        </w:rPr>
        <w:t xml:space="preserve">t.begin_fill()</w:t>
      </w:r>
      <w:r>
        <w:br/>
      </w:r>
      <w:r>
        <w:rPr>
          <w:rStyle w:val="VerbatimChar"/>
        </w:rPr>
        <w:t xml:space="preserve">t.forward(100)</w:t>
      </w:r>
      <w:r>
        <w:br/>
      </w:r>
      <w:r>
        <w:rPr>
          <w:rStyle w:val="VerbatimChar"/>
        </w:rPr>
        <w:t xml:space="preserve">t.left(90)</w:t>
      </w:r>
      <w:r>
        <w:br/>
      </w:r>
      <w:r>
        <w:rPr>
          <w:rStyle w:val="VerbatimChar"/>
        </w:rPr>
        <w:t xml:space="preserve">t.forward(20)</w:t>
      </w:r>
      <w:r>
        <w:br/>
      </w:r>
      <w:r>
        <w:rPr>
          <w:rStyle w:val="VerbatimChar"/>
        </w:rPr>
        <w:t xml:space="preserve">t.left(90)</w:t>
      </w:r>
      <w:r>
        <w:br/>
      </w:r>
      <w:r>
        <w:rPr>
          <w:rStyle w:val="VerbatimChar"/>
        </w:rPr>
        <w:t xml:space="preserve">t.forward(20)</w:t>
      </w:r>
      <w:r>
        <w:br/>
      </w:r>
      <w:r>
        <w:rPr>
          <w:rStyle w:val="VerbatimChar"/>
        </w:rPr>
        <w:t xml:space="preserve">t.right(90)</w:t>
      </w:r>
      <w:r>
        <w:br/>
      </w:r>
      <w:r>
        <w:rPr>
          <w:rStyle w:val="VerbatimChar"/>
        </w:rPr>
        <w:t xml:space="preserve">t.forward(20)</w:t>
      </w:r>
      <w:r>
        <w:br/>
      </w:r>
      <w:r>
        <w:rPr>
          <w:rStyle w:val="VerbatimChar"/>
        </w:rPr>
        <w:t xml:space="preserve">t.left(90)</w:t>
      </w:r>
      <w:r>
        <w:br/>
      </w:r>
      <w:r>
        <w:rPr>
          <w:rStyle w:val="VerbatimChar"/>
        </w:rPr>
        <w:t xml:space="preserve">t.forward(60)</w:t>
      </w:r>
      <w:r>
        <w:br/>
      </w:r>
      <w:r>
        <w:rPr>
          <w:rStyle w:val="VerbatimChar"/>
        </w:rPr>
        <w:t xml:space="preserve">t.left(90)</w:t>
      </w:r>
      <w:r>
        <w:br/>
      </w:r>
      <w:r>
        <w:rPr>
          <w:rStyle w:val="VerbatimChar"/>
        </w:rPr>
        <w:t xml:space="preserve">t.forward(20)</w:t>
      </w:r>
      <w:r>
        <w:br/>
      </w:r>
      <w:r>
        <w:rPr>
          <w:rStyle w:val="VerbatimChar"/>
        </w:rPr>
        <w:t xml:space="preserve">t.right(90)</w:t>
      </w:r>
      <w:r>
        <w:br/>
      </w:r>
      <w:r>
        <w:rPr>
          <w:rStyle w:val="VerbatimChar"/>
        </w:rPr>
        <w:t xml:space="preserve">t.forward(20)</w:t>
      </w:r>
      <w:r>
        <w:br/>
      </w:r>
      <w:r>
        <w:rPr>
          <w:rStyle w:val="VerbatimChar"/>
        </w:rPr>
        <w:t xml:space="preserve">t.left(90)</w:t>
      </w:r>
      <w:r>
        <w:br/>
      </w:r>
      <w:r>
        <w:rPr>
          <w:rStyle w:val="VerbatimChar"/>
        </w:rPr>
        <w:t xml:space="preserve">t.forward(20)</w:t>
      </w:r>
      <w:r>
        <w:br/>
      </w:r>
      <w:r>
        <w:rPr>
          <w:rStyle w:val="VerbatimChar"/>
        </w:rPr>
        <w:t xml:space="preserve">t.end_fill()</w:t>
      </w:r>
    </w:p>
    <w:p>
      <w:pPr>
        <w:pStyle w:val="FirstParagraph"/>
      </w:pPr>
      <w:r>
        <w:t xml:space="preserve">A continuación, dibujaremos la primera rueda:</w:t>
      </w:r>
    </w:p>
    <w:p>
      <w:pPr>
        <w:pStyle w:val="SourceCode"/>
      </w:pPr>
      <w:r>
        <w:rPr>
          <w:rStyle w:val="VerbatimChar"/>
        </w:rPr>
        <w:t xml:space="preserve">t.color(0,0,0)</w:t>
      </w:r>
      <w:r>
        <w:br/>
      </w:r>
      <w:r>
        <w:rPr>
          <w:rStyle w:val="VerbatimChar"/>
        </w:rPr>
        <w:t xml:space="preserve">t.up()</w:t>
      </w:r>
      <w:r>
        <w:br/>
      </w:r>
      <w:r>
        <w:rPr>
          <w:rStyle w:val="VerbatimChar"/>
        </w:rPr>
        <w:t xml:space="preserve">t.forward(10)</w:t>
      </w:r>
      <w:r>
        <w:br/>
      </w:r>
      <w:r>
        <w:rPr>
          <w:rStyle w:val="VerbatimChar"/>
        </w:rPr>
        <w:t xml:space="preserve">t.down()</w:t>
      </w:r>
      <w:r>
        <w:br/>
      </w:r>
      <w:r>
        <w:rPr>
          <w:rStyle w:val="VerbatimChar"/>
        </w:rPr>
        <w:t xml:space="preserve">t.begin_fill()</w:t>
      </w:r>
      <w:r>
        <w:br/>
      </w:r>
      <w:r>
        <w:rPr>
          <w:rStyle w:val="VerbatimChar"/>
        </w:rPr>
        <w:t xml:space="preserve">t.circle(10)</w:t>
      </w:r>
      <w:r>
        <w:br/>
      </w:r>
      <w:r>
        <w:rPr>
          <w:rStyle w:val="VerbatimChar"/>
        </w:rPr>
        <w:t xml:space="preserve">t.end_fill()</w:t>
      </w:r>
    </w:p>
    <w:p>
      <w:pPr>
        <w:pStyle w:val="FirstParagraph"/>
      </w:pPr>
      <w:r>
        <w:t xml:space="preserve">Por último, dibujaremos la segunda rueda:</w:t>
      </w:r>
    </w:p>
    <w:p>
      <w:pPr>
        <w:pStyle w:val="SourceCode"/>
      </w:pPr>
      <w:r>
        <w:rPr>
          <w:rStyle w:val="VerbatimChar"/>
        </w:rPr>
        <w:t xml:space="preserve">t.setheading(0)</w:t>
      </w:r>
      <w:r>
        <w:br/>
      </w:r>
      <w:r>
        <w:rPr>
          <w:rStyle w:val="VerbatimChar"/>
        </w:rPr>
        <w:t xml:space="preserve">t.up()</w:t>
      </w:r>
      <w:r>
        <w:br/>
      </w:r>
      <w:r>
        <w:rPr>
          <w:rStyle w:val="VerbatimChar"/>
        </w:rPr>
        <w:t xml:space="preserve">t.forward(90)</w:t>
      </w:r>
      <w:r>
        <w:br/>
      </w:r>
      <w:r>
        <w:rPr>
          <w:rStyle w:val="VerbatimChar"/>
        </w:rPr>
        <w:t xml:space="preserve">t.right(90)</w:t>
      </w:r>
      <w:r>
        <w:br/>
      </w:r>
      <w:r>
        <w:rPr>
          <w:rStyle w:val="VerbatimChar"/>
        </w:rPr>
        <w:t xml:space="preserve">t.forward(10)</w:t>
      </w:r>
      <w:r>
        <w:br/>
      </w:r>
      <w:r>
        <w:rPr>
          <w:rStyle w:val="VerbatimChar"/>
        </w:rPr>
        <w:t xml:space="preserve">t.setheading(0)</w:t>
      </w:r>
      <w:r>
        <w:br/>
      </w:r>
      <w:r>
        <w:rPr>
          <w:rStyle w:val="VerbatimChar"/>
        </w:rPr>
        <w:t xml:space="preserve">t.begin_fill()</w:t>
      </w:r>
      <w:r>
        <w:br/>
      </w:r>
      <w:r>
        <w:rPr>
          <w:rStyle w:val="VerbatimChar"/>
        </w:rPr>
        <w:t xml:space="preserve">t.down()</w:t>
      </w:r>
      <w:r>
        <w:br/>
      </w:r>
      <w:r>
        <w:rPr>
          <w:rStyle w:val="VerbatimChar"/>
        </w:rPr>
        <w:t xml:space="preserve">t.circle(10)</w:t>
      </w:r>
      <w:r>
        <w:br/>
      </w:r>
      <w:r>
        <w:rPr>
          <w:rStyle w:val="VerbatimChar"/>
        </w:rPr>
        <w:t xml:space="preserve">t.end_fill()</w:t>
      </w:r>
    </w:p>
    <w:p>
      <w:pPr>
        <w:pStyle w:val="FirstParagraph"/>
      </w:pPr>
      <w:r>
        <w:t xml:space="preserve">Selecciona</w:t>
      </w:r>
      <w:r>
        <w:t xml:space="preserve"> </w:t>
      </w:r>
      <w:r>
        <w:rPr>
          <w:b/>
          <w:bCs/>
        </w:rPr>
        <w:t xml:space="preserve">Archivo ▸ Guardar como</w:t>
      </w:r>
      <w:r>
        <w:t xml:space="preserve"> </w:t>
      </w:r>
      <w:r>
        <w:t xml:space="preserve">y dale un nombre al archivo, por ejemplo</w:t>
      </w:r>
      <w:r>
        <w:t xml:space="preserve"> </w:t>
      </w:r>
      <w:r>
        <w:rPr>
          <w:i/>
          <w:iCs/>
        </w:rPr>
        <w:t xml:space="preserve">coche.py .</w:t>
      </w:r>
      <w:r>
        <w:t xml:space="preserve"> </w:t>
      </w:r>
      <w:r>
        <w:t xml:space="preserve">Selecciona</w:t>
      </w:r>
      <w:r>
        <w:t xml:space="preserve"> </w:t>
      </w:r>
      <w:r>
        <w:rPr>
          <w:b/>
          <w:bCs/>
        </w:rPr>
        <w:t xml:space="preserve">Ejecutar ▸ Ejecutar Módulo</w:t>
      </w:r>
      <w:r>
        <w:t xml:space="preserve"> </w:t>
      </w:r>
      <w:r>
        <w:t xml:space="preserve">para probar el código. Nuestro coche puede verse en la</w:t>
      </w:r>
      <w:r>
        <w:t xml:space="preserve"> </w:t>
      </w:r>
      <w:hyperlink r:id="rId20">
        <w:r>
          <w:rPr>
            <w:rStyle w:val="Hyperlink"/>
          </w:rPr>
          <w:t xml:space="preserve">Figura 9-7 .</w:t>
        </w:r>
      </w:hyperlink>
    </w:p>
    <w:bookmarkStart w:id="25" w:name="ch09fig07"/>
    <w:p>
      <w:pPr>
        <w:pStyle w:val="BodyText"/>
      </w:pPr>
      <w:bookmarkStart w:id="21" w:name="page_123"/>
      <w:r>
        <w:t xml:space="preserve"> </w:t>
      </w:r>
      <w:bookmarkEnd w:id="21"/>
      <w:r>
        <w:t xml:space="preserve"> </w:t>
      </w:r>
      <w:r>
        <w:drawing>
          <wp:inline>
            <wp:extent cx="5334000" cy="3683211"/>
            <wp:effectExtent b="0" l="0" r="0" t="0"/>
            <wp:docPr descr="Image" title="" id="23" name="Picture"/>
            <a:graphic>
              <a:graphicData uri="http://schemas.openxmlformats.org/drawingml/2006/picture">
                <pic:pic>
                  <pic:nvPicPr>
                    <pic:cNvPr descr="../images/09fig07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3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p>
      <w:pPr>
        <w:pStyle w:val="BodyText"/>
      </w:pPr>
      <w:r>
        <w:rPr>
          <w:i/>
          <w:iCs/>
        </w:rPr>
        <w:t xml:space="preserve">Figura 9-7: Tortuga dibujando un</w:t>
      </w:r>
      <w:r>
        <w:t xml:space="preserve"> </w:t>
      </w:r>
      <w:r>
        <w:t xml:space="preserve">coche</w:t>
      </w:r>
    </w:p>
    <w:p>
      <w:pPr>
        <w:pStyle w:val="BodyText"/>
      </w:pPr>
      <w:r>
        <w:t xml:space="preserve">Te habrás dado cuenta de que en este código se han colado unas cuantas funciones nuevas de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 </w:t>
      </w:r>
      <w:r>
        <w:t xml:space="preserve">color</w:t>
      </w:r>
      <w:r>
        <w:t xml:space="preserve"> </w:t>
      </w:r>
      <w:r>
        <w:t xml:space="preserve"> </w:t>
      </w:r>
      <w:r>
        <w:t xml:space="preserve">se utiliza para cambiar el color del lápiz.</w:t>
      </w:r>
    </w:p>
    <w:p>
      <w:pPr>
        <w:pStyle w:val="Compact"/>
        <w:numPr>
          <w:ilvl w:val="0"/>
          <w:numId w:val="1001"/>
        </w:numPr>
      </w:pPr>
      <w:r>
        <w:t xml:space="preserve"> </w:t>
      </w:r>
      <w:r>
        <w:t xml:space="preserve">begin_fill</w:t>
      </w:r>
      <w:r>
        <w:t xml:space="preserve"> 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end_fill</w:t>
      </w:r>
      <w:r>
        <w:t xml:space="preserve"> </w:t>
      </w:r>
      <w:r>
        <w:t xml:space="preserve">se utilizan para rellenar un área del lienzo con un color.</w:t>
      </w:r>
    </w:p>
    <w:p>
      <w:pPr>
        <w:pStyle w:val="Compact"/>
        <w:numPr>
          <w:ilvl w:val="0"/>
          <w:numId w:val="1001"/>
        </w:numPr>
      </w:pPr>
      <w:r>
        <w:t xml:space="preserve"> </w:t>
      </w:r>
      <w:r>
        <w:t xml:space="preserve">circle</w:t>
      </w:r>
      <w:r>
        <w:t xml:space="preserve"> </w:t>
      </w:r>
      <w:r>
        <w:t xml:space="preserve"> </w:t>
      </w:r>
      <w:r>
        <w:t xml:space="preserve">dibuja un círculo de un tamaño determinado.</w:t>
      </w:r>
    </w:p>
    <w:p>
      <w:pPr>
        <w:pStyle w:val="Compact"/>
        <w:numPr>
          <w:ilvl w:val="0"/>
          <w:numId w:val="1001"/>
        </w:numPr>
      </w:pPr>
      <w:r>
        <w:t xml:space="preserve"> </w:t>
      </w:r>
      <w:r>
        <w:t xml:space="preserve">setheading</w:t>
      </w:r>
      <w:r>
        <w:t xml:space="preserve"> </w:t>
      </w:r>
      <w:r>
        <w:t xml:space="preserve"> </w:t>
      </w:r>
      <w:r>
        <w:t xml:space="preserve">gira la tortuga para que mire en una dirección determinada.</w:t>
      </w:r>
    </w:p>
    <w:p>
      <w:pPr>
        <w:pStyle w:val="FirstParagraph"/>
      </w:pPr>
      <w:r>
        <w:t xml:space="preserve">Veamos cómo podemos utilizar estas funciones para añadir color a nuestros dibujos.</w:t>
      </w:r>
    </w:p>
    <w:p>
      <w:pPr>
        <w:pStyle w:val="BodyText"/>
      </w:pPr>
      <w:hyperlink r:id="rId26">
        <w:r>
          <w:rPr>
            <w:rStyle w:val="Hyperlink"/>
          </w:rPr>
          <w:t xml:space="preserve">anterior</w:t>
        </w:r>
      </w:hyperlink>
      <w:hyperlink r:id="rId27">
        <w:r>
          <w:rPr>
            <w:rStyle w:val="Hyperlink"/>
          </w:rPr>
          <w:t xml:space="preserve">Subtema 4 de 12: (Ver todo)</w:t>
        </w:r>
      </w:hyperlink>
      <w:hyperlink r:id="rId28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9"/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27" Target="ch09.html" TargetMode="External" /><Relationship Type="http://schemas.openxmlformats.org/officeDocument/2006/relationships/hyperlink" Id="rId20" Target="ch09.xhtml#ch09fig07" TargetMode="External" /><Relationship Type="http://schemas.openxmlformats.org/officeDocument/2006/relationships/hyperlink" Id="rId26" Target="ch09_3.html" TargetMode="External" /><Relationship Type="http://schemas.openxmlformats.org/officeDocument/2006/relationships/hyperlink" Id="rId29" Target="ch09_4.docx" TargetMode="External" /><Relationship Type="http://schemas.openxmlformats.org/officeDocument/2006/relationships/hyperlink" Id="rId28" Target="ch09_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ch09.html" TargetMode="External" /><Relationship Type="http://schemas.openxmlformats.org/officeDocument/2006/relationships/hyperlink" Id="rId20" Target="ch09.xhtml#ch09fig07" TargetMode="External" /><Relationship Type="http://schemas.openxmlformats.org/officeDocument/2006/relationships/hyperlink" Id="rId26" Target="ch09_3.html" TargetMode="External" /><Relationship Type="http://schemas.openxmlformats.org/officeDocument/2006/relationships/hyperlink" Id="rId29" Target="ch09_4.docx" TargetMode="External" /><Relationship Type="http://schemas.openxmlformats.org/officeDocument/2006/relationships/hyperlink" Id="rId28" Target="ch09_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2024-04-24T23:23:38Z</dcterms:created>
  <dcterms:modified xsi:type="dcterms:W3CDTF">2024-04-24T23:23:38Z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