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10lev1sec14"/>
    <w:p>
      <w:pPr>
        <w:pStyle w:val="Heading3"/>
      </w:pPr>
      <w:r>
        <w:t xml:space="preserve">Más formas de utilizar el identificador</w:t>
      </w:r>
    </w:p>
    <w:p>
      <w:pPr>
        <w:pStyle w:val="FirstParagraph"/>
      </w:pPr>
      <w:r>
        <w:t xml:space="preserve">Siempre que utilizamos un</w:t>
      </w:r>
      <w:r>
        <w:t xml:space="preserve"> </w:t>
      </w:r>
      <w:r>
        <w:t xml:space="preserve"> </w:t>
      </w:r>
      <w:r>
        <w:t xml:space="preserve">create_function</w:t>
      </w:r>
      <w:r>
        <w:t xml:space="preserve"> </w:t>
      </w:r>
      <w:r>
        <w:t xml:space="preserve">del lienzo, como</w:t>
      </w:r>
      <w:r>
        <w:t xml:space="preserve"> </w:t>
      </w:r>
      <w:r>
        <w:t xml:space="preserve"> </w:t>
      </w:r>
      <w:r>
        <w:t xml:space="preserve">create_polygon</w:t>
      </w:r>
      <w:r>
        <w:t xml:space="preserve"> </w:t>
      </w:r>
      <w:r>
        <w:t xml:space="preserve">o</w:t>
      </w:r>
      <w:r>
        <w:t xml:space="preserve"> </w:t>
      </w:r>
      <w:r>
        <w:t xml:space="preserve"> </w:t>
      </w:r>
      <w:r>
        <w:t xml:space="preserve">create_rectangle</w:t>
      </w:r>
      <w:r>
        <w:t xml:space="preserve"> </w:t>
      </w:r>
      <w:r>
        <w:t xml:space="preserve">, se devuelve un identificador. Este identificador se puede utilizar con otras funciones del lienzo, como hicimos anteriormente con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canvas.create_polygon(10, 10, 10, 60, 50, 35)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&gt;&gt;&gt; canvas.move(1, 5, 0)</w:t>
      </w:r>
    </w:p>
    <w:p>
      <w:pPr>
        <w:pStyle w:val="FirstParagraph"/>
      </w:pPr>
      <w:r>
        <w:t xml:space="preserve">El problema de este ejemplo es que</w:t>
      </w:r>
      <w:r>
        <w:t xml:space="preserve"> </w:t>
      </w:r>
      <w:r>
        <w:t xml:space="preserve"> </w:t>
      </w:r>
      <w:r>
        <w:t xml:space="preserve">create_polygon</w:t>
      </w:r>
      <w:r>
        <w:t xml:space="preserve"> </w:t>
      </w:r>
      <w:r>
        <w:t xml:space="preserve">no siempre devolverá 1. Por ejemplo, si has creado otras formas, podría devolver 2, 3 o incluso 100 (dependiendo del número de formas que hayas creado). Si cambiamos el código para almacenar el valor</w:t>
      </w:r>
      <w:r>
        <w:t xml:space="preserve"> </w:t>
      </w:r>
      <w:bookmarkStart w:id="20" w:name="page_166"/>
      <w:r>
        <w:t xml:space="preserve"> </w:t>
      </w:r>
      <w:bookmarkEnd w:id="20"/>
      <w:r>
        <w:t xml:space="preserve">devuelto como una variable, y luego utilizamos la variable (en lugar de referirnos sólo al número 1), el código funcionará independientemente del número devuelto.</w:t>
      </w:r>
    </w:p>
    <w:p>
      <w:pPr>
        <w:pStyle w:val="SourceCode"/>
      </w:pPr>
      <w:r>
        <w:rPr>
          <w:rStyle w:val="VerbatimChar"/>
        </w:rPr>
        <w:t xml:space="preserve">&gt;&gt;&gt; mytriangle = canvas.create_polygon(10, 10, 10, 60, 50, 35)</w:t>
      </w:r>
      <w:r>
        <w:br/>
      </w:r>
      <w:r>
        <w:rPr>
          <w:rStyle w:val="VerbatimChar"/>
        </w:rPr>
        <w:t xml:space="preserve">&gt;&gt;&gt; canvas.move(mytriangle, 10, 0)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nos permite mover objetos por la pantalla utilizando su identificador. Pero otras funciones del lienzo también pueden cambiar algo que hayamos dibujado. Por ejemplo, la función</w:t>
      </w:r>
      <w:r>
        <w:t xml:space="preserve"> </w:t>
      </w:r>
      <w:r>
        <w:t xml:space="preserve"> </w:t>
      </w:r>
      <w:r>
        <w:t xml:space="preserve">itemconfig</w:t>
      </w:r>
      <w:r>
        <w:t xml:space="preserve"> </w:t>
      </w:r>
      <w:r>
        <w:t xml:space="preserve">puede cambiar algunos parámetros de una forma, como sus colores de relleno y contorno.</w:t>
      </w:r>
    </w:p>
    <w:p>
      <w:pPr>
        <w:pStyle w:val="BodyText"/>
      </w:pPr>
      <w:r>
        <w:t xml:space="preserve">Supongamos que creamos un triángulo rojo: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mytriangle = canvas.create_polygon(10, 10, 10, 60, 50, 35,</w:t>
      </w:r>
      <w:r>
        <w:br/>
      </w:r>
      <w:r>
        <w:rPr>
          <w:rStyle w:val="VerbatimChar"/>
        </w:rPr>
        <w:t xml:space="preserve">    fill='red')</w:t>
      </w:r>
    </w:p>
    <w:p>
      <w:pPr>
        <w:pStyle w:val="FirstParagraph"/>
      </w:pPr>
      <w:r>
        <w:t xml:space="preserve">Podemos cambiar el triángulo a otro color con</w:t>
      </w:r>
      <w:r>
        <w:t xml:space="preserve"> </w:t>
      </w:r>
      <w:r>
        <w:t xml:space="preserve"> </w:t>
      </w:r>
      <w:r>
        <w:t xml:space="preserve">itemconfig</w:t>
      </w:r>
      <w:r>
        <w:t xml:space="preserve"> </w:t>
      </w:r>
      <w:r>
        <w:t xml:space="preserve">y utilizar el identificador como primer parámetro. El siguiente código dice: "Cambia el color de relleno del objeto identificado por el número de la variable</w:t>
      </w:r>
      <w:r>
        <w:t xml:space="preserve"> </w:t>
      </w:r>
      <w:r>
        <w:t xml:space="preserve"> </w:t>
      </w:r>
      <w:r>
        <w:t xml:space="preserve">mytriangle</w:t>
      </w:r>
      <w:r>
        <w:t xml:space="preserve"> </w:t>
      </w:r>
      <w:r>
        <w:t xml:space="preserve">a azul":</w:t>
      </w:r>
    </w:p>
    <w:p>
      <w:pPr>
        <w:pStyle w:val="SourceCode"/>
      </w:pPr>
      <w:r>
        <w:rPr>
          <w:rStyle w:val="VerbatimChar"/>
        </w:rPr>
        <w:t xml:space="preserve">&gt;&gt;&gt; canvas.itemconfig(mytriangle, fill='blue')</w:t>
      </w:r>
    </w:p>
    <w:p>
      <w:pPr>
        <w:pStyle w:val="FirstParagraph"/>
      </w:pPr>
      <w:r>
        <w:t xml:space="preserve">También podríamos darle al triángulo un contorno de otro color, utilizando de nuevo el identificador como primer parámetro:</w:t>
      </w:r>
    </w:p>
    <w:p>
      <w:pPr>
        <w:pStyle w:val="SourceCode"/>
      </w:pPr>
      <w:r>
        <w:rPr>
          <w:rStyle w:val="VerbatimChar"/>
        </w:rPr>
        <w:t xml:space="preserve">&gt;&gt;&gt; canvas.itemconfig(mytriangle, outline='red')</w:t>
      </w:r>
    </w:p>
    <w:p>
      <w:pPr>
        <w:pStyle w:val="FirstParagraph"/>
      </w:pPr>
      <w:r>
        <w:t xml:space="preserve">Más adelante aprenderemos a realizar otros cambios en un dibujo, como ocultarlo y volverlo a hacer visible. La posibilidad de modificar los dibujos te resultará útil cuando empecemos a escribir juegos en el próximo capítulo.</w:t>
      </w:r>
    </w:p>
    <w:p>
      <w:pPr>
        <w:pStyle w:val="BodyText"/>
      </w:pPr>
      <w:r>
        <w:drawing>
          <wp:inline>
            <wp:extent cx="5334000" cy="5228026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166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15 de 17: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10.html" TargetMode="External" /><Relationship Type="http://schemas.openxmlformats.org/officeDocument/2006/relationships/hyperlink" Id="rId24" Target="ch10_14.html" TargetMode="External" /><Relationship Type="http://schemas.openxmlformats.org/officeDocument/2006/relationships/hyperlink" Id="rId27" Target="ch10_15.docx" TargetMode="External" /><Relationship Type="http://schemas.openxmlformats.org/officeDocument/2006/relationships/hyperlink" Id="rId26" Target="ch10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0.html" TargetMode="External" /><Relationship Type="http://schemas.openxmlformats.org/officeDocument/2006/relationships/hyperlink" Id="rId24" Target="ch10_14.html" TargetMode="External" /><Relationship Type="http://schemas.openxmlformats.org/officeDocument/2006/relationships/hyperlink" Id="rId27" Target="ch10_15.docx" TargetMode="External" /><Relationship Type="http://schemas.openxmlformats.org/officeDocument/2006/relationships/hyperlink" Id="rId26" Target="ch10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2024-04-24T23:23:50Z</dcterms:created>
  <dcterms:modified xsi:type="dcterms:W3CDTF">2024-04-24T23:23:50Z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